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FTitle"/>
      </w:pPr>
      <w:r>
        <w:t>Untermietvertrag für Wohnräume</w:t>
      </w:r>
    </w:p>
    <w:p>
      <w:pPr>
        <w:pStyle w:val="WFSubtitle"/>
      </w:pPr>
      <w:r>
        <w:t>Ausführliche Schweizer Vorlage für Wohnung, Teilwohnung oder Zimmer - mit Inventar, Nebenkosten und Zustimmung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  <w:shd w:fill="F5F2EA"/>
          </w:tcPr>
          <w:p>
            <w:pPr>
              <w:spacing w:after="40"/>
            </w:pPr>
            <w:r>
              <w:rPr>
                <w:b/>
                <w:color w:val="173D32"/>
              </w:rPr>
              <w:t>Hauptmietvertrag und Zustimmung</w:t>
            </w:r>
          </w:p>
          <w:p>
            <w:pPr>
              <w:spacing w:after="0"/>
            </w:pPr>
            <w:r>
              <w:t>Die Untervermietung bleibt vom Hauptmietvertrag abhängig. Die Hauptmieterschaft informiert die Vermieterschaft vorab über Bedingungen, Dauer und Person der Untermieterschaft und holt die erforderliche Zustimmung ein (OR Art. 262).</w:t>
            </w:r>
          </w:p>
        </w:tc>
      </w:tr>
    </w:tbl>
    <w:p>
      <w:pPr>
        <w:spacing w:after="0" w:line="96" w:lineRule="auto"/>
      </w:pPr>
    </w:p>
    <w:p>
      <w:pPr>
        <w:pStyle w:val="Heading1"/>
      </w:pPr>
      <w:r>
        <w:t>1. Parteien und Objekt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Hauptmieterschaft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Name / Adresse / Kontakt: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Untermieterschaft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Name / Adresse / Kontakt: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Objekt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Adresse:  ☐ ganze Wohnung  ☐ Zimmer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Mitbenutzung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Küche  ☐ Bad  ☐ Balkon  ☐ Keller  ☐ Parkplatz  ☐ Weitere: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Hauptvermieterschaft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Name / Verwaltung / Kontakt: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Hauptmietvertrag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Datum:  ordentlicher Mietzins inkl. NK: CHF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2. Dauer und Beendigung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Beginn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/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Dauer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befristet bis  ☐ unbefristet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Kündigung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Frist / Termin: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Abhängigkeit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Endet der Hauptmietvertrag, endet die Untervermietung spätestens gleichzeitig, soweit rechtlich zulässig.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Rückgabe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Datum / Zeit / Ort der Schlüsselübergabe: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3. Entgelt, Nebenkosten und Sicherheit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268"/>
        <w:gridCol w:w="2741"/>
        <w:gridCol w:w="4026"/>
      </w:tblGrid>
      <w:tr>
        <w:trPr>
          <w:cantSplit/>
          <w:tblHeader w:val="true"/>
        </w:trPr>
        <w:tc>
          <w:tcPr>
            <w:tcW w:type="dxa" w:w="3268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Position</w:t>
            </w:r>
          </w:p>
        </w:tc>
        <w:tc>
          <w:tcPr>
            <w:tcW w:type="dxa" w:w="2741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Betrag</w:t>
            </w:r>
          </w:p>
        </w:tc>
        <w:tc>
          <w:tcPr>
            <w:tcW w:type="dxa" w:w="4026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Hinweis</w:t>
            </w:r>
          </w:p>
        </w:tc>
      </w:tr>
      <w:tr>
        <w:trPr>
          <w:cantSplit/>
        </w:trPr>
        <w:tc>
          <w:tcPr>
            <w:tcW w:type="dxa" w:w="326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Untermietzins</w:t>
            </w:r>
          </w:p>
        </w:tc>
        <w:tc>
          <w:tcPr>
            <w:tcW w:type="dxa" w:w="2741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  / Monat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026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Berechnung offenlegen</w:t>
            </w:r>
          </w:p>
        </w:tc>
      </w:tr>
      <w:tr>
        <w:trPr>
          <w:cantSplit/>
        </w:trPr>
        <w:tc>
          <w:tcPr>
            <w:tcW w:type="dxa" w:w="326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Nebenkosten</w:t>
            </w:r>
          </w:p>
        </w:tc>
        <w:tc>
          <w:tcPr>
            <w:tcW w:type="dxa" w:w="2741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  / Monat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026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☐ Akonto  ☐ pauschal</w:t>
            </w:r>
          </w:p>
        </w:tc>
      </w:tr>
      <w:tr>
        <w:trPr>
          <w:cantSplit/>
        </w:trPr>
        <w:tc>
          <w:tcPr>
            <w:tcW w:type="dxa" w:w="326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Möblierungszuschlag</w:t>
            </w:r>
          </w:p>
        </w:tc>
        <w:tc>
          <w:tcPr>
            <w:tcW w:type="dxa" w:w="2741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  / Monat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026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Inventarliste / Berechnung beilegen</w:t>
            </w:r>
          </w:p>
        </w:tc>
      </w:tr>
      <w:tr>
        <w:trPr>
          <w:cantSplit/>
        </w:trPr>
        <w:tc>
          <w:tcPr>
            <w:tcW w:type="dxa" w:w="326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Parkplatz / weitere</w:t>
            </w:r>
          </w:p>
        </w:tc>
        <w:tc>
          <w:tcPr>
            <w:tcW w:type="dxa" w:w="2741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  / Monat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026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Bezeichnung: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326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Total</w:t>
            </w:r>
          </w:p>
        </w:tc>
        <w:tc>
          <w:tcPr>
            <w:tcW w:type="dxa" w:w="2741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  / Monat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026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Fälligkeit: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326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Sicherheit</w:t>
            </w:r>
          </w:p>
        </w:tc>
        <w:tc>
          <w:tcPr>
            <w:tcW w:type="dxa" w:w="2741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CHF</w:t>
            </w:r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4026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bei Wohnräumen gesetzliche Grenzen beachten</w:t>
            </w:r>
          </w:p>
        </w:tc>
      </w:tr>
    </w:tbl>
    <w:p>
      <w:pPr>
        <w:spacing w:after="0"/>
      </w:pP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Zahlungsweg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Empfänger / IBAN und monatlicher Fälligkeitstag: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Nebenkostenumfang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Vereinbarte Positionen, z. B. Heizung, Wasser, Strom, Internet oder Reinigung: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Sicherheitsleistung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Bankdepot  ☐ andere zulässige Form  ☐ keine  Institut / Anbieter: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4. Zustimmung und Angaben an die Vermieterschaft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Mitteilung / Gesuch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Datum und übermittelnde Person: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Entscheid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Zustimmung  ☐ Zustimmung mit Bedingungen  ☐ ausstehend  Datum: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Bedingungen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/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5. Nutzung, Sorgfalt und Zusammenleben</w:t>
      </w:r>
    </w:p>
    <w:p>
      <w:pPr>
        <w:pStyle w:val="ListBullet"/>
      </w:pPr>
      <w:r>
        <w:t>Sorgfältiger Gebrauch; zulässige Regeln des Hauptmietvertrags und die ausgehändigte Hausordnung gelten mit.</w:t>
      </w:r>
    </w:p>
    <w:p>
      <w:pPr>
        <w:pStyle w:val="ListBullet"/>
      </w:pPr>
      <w:r>
        <w:t>Belegung: ____ Personen. Gewerbliche Nutzung, kurzfristige Weitervermietung und Aufnahme weiterer Personen nur gemäss schriftlicher Vereinbarung.</w:t>
      </w:r>
    </w:p>
    <w:p>
      <w:pPr>
        <w:pStyle w:val="ListBullet"/>
      </w:pPr>
      <w:r>
        <w:t>Mängel, Schäden und Störungen werden unverzüglich der Hauptmieterschaft gemeldet; Notfälle direkt der bezeichneten Kontaktstelle.</w:t>
      </w:r>
    </w:p>
    <w:p>
      <w:pPr>
        <w:pStyle w:val="ListBullet"/>
      </w:pPr>
      <w:r>
        <w:t>Tierhaltung: ☐ erlaubt  ☐ zustimmungspflichtig  ☐ nicht vereinbart. Rauchen: ☐ erlaubt  ☐ nicht erlaubt  ☐ nur ausserhalb.</w:t>
      </w:r>
    </w:p>
    <w:p>
      <w:pPr>
        <w:pStyle w:val="ListBullet"/>
      </w:pPr>
      <w:r>
        <w:t>Ohne schriftliche Zustimmung dürfen keine baulichen Änderungen, Installationen oder Schlüsselkopien vorgenommen werden.</w:t>
      </w:r>
    </w:p>
    <w:p>
      <w:pPr>
        <w:pStyle w:val="Heading1"/>
      </w:pPr>
      <w:r>
        <w:t>6. Übergabe, Inventar und Rückgabe</w:t>
      </w:r>
    </w:p>
    <w:p>
      <w:pPr>
        <w:pStyle w:val="ListBullet"/>
      </w:pPr>
      <w:r>
        <w:t>Zustand, vorhandene Mängel, Zähler, Schlüssel und Zugangsmittel werden im Übergabeprotokoll festgehalten.</w:t>
      </w:r>
    </w:p>
    <w:p>
      <w:pPr>
        <w:pStyle w:val="ListBullet"/>
      </w:pPr>
      <w:r>
        <w:t>Bei möblierter Untervermietung bildet eine datierte Inventarliste mit Zustand und Fotos einen Vertragsbestandteil.</w:t>
      </w:r>
    </w:p>
    <w:p>
      <w:pPr>
        <w:pStyle w:val="ListBullet"/>
      </w:pPr>
      <w:r>
        <w:t>Bei Ende werden Räume und Inventar geräumt, gereinigt und im protokollierten Zustand unter Berücksichtigung normaler Abnutzung zurückgegeben.</w:t>
      </w:r>
    </w:p>
    <w:p>
      <w:pPr>
        <w:pStyle w:val="ListBullet"/>
      </w:pPr>
      <w:r>
        <w:t>Die Hauptmieterschaft bleibt gegenüber der Vermieterschaft aus dem Hauptmietvertrag verantwortlich.</w:t>
      </w:r>
    </w:p>
    <w:p>
      <w:pPr>
        <w:pStyle w:val="Heading1"/>
      </w:pPr>
      <w:r>
        <w:t>7. Kontakt, Meldungen und Versicherung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Kontakt / Zustellung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Telefon, E-Mail und gegebenenfalls abweichende Zustelladresse: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Notfallkontakt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Name, Verhältnis und Telefonnummer: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Privathaftpflicht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☐ Nachweis vereinbart  ☐ kein Nachweis  Versicherer / Police: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8. Schlüssel, Mobiliar und Inventar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150"/>
        <w:gridCol w:w="1250"/>
        <w:gridCol w:w="2750"/>
        <w:gridCol w:w="2885"/>
      </w:tblGrid>
      <w:tr>
        <w:trPr>
          <w:cantSplit/>
          <w:tblHeader w:val="true"/>
        </w:trPr>
        <w:tc>
          <w:tcPr>
            <w:tcW w:type="dxa" w:w="31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Gegenstand / Zugangsmittel</w:t>
            </w:r>
          </w:p>
        </w:tc>
        <w:tc>
          <w:tcPr>
            <w:tcW w:type="dxa" w:w="12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Anzahl</w:t>
            </w:r>
          </w:p>
        </w:tc>
        <w:tc>
          <w:tcPr>
            <w:tcW w:type="dxa" w:w="2750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Zustand bei Übergabe</w:t>
            </w:r>
          </w:p>
        </w:tc>
        <w:tc>
          <w:tcPr>
            <w:tcW w:type="dxa" w:w="2885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Feststellung / Foto</w:t>
            </w:r>
          </w:p>
        </w:tc>
      </w:tr>
      <w:tr>
        <w:trPr>
          <w:cantSplit/>
        </w:trPr>
        <w:tc>
          <w:tcPr>
            <w:tcW w:type="dxa" w:w="31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Schlüssel / Badge / Handsender</w:t>
            </w:r>
          </w:p>
        </w:tc>
        <w:tc>
          <w:tcPr>
            <w:tcW w:type="dxa" w:w="12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27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28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31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Möbel / Einrichtungsgegenstände</w:t>
            </w:r>
          </w:p>
        </w:tc>
        <w:tc>
          <w:tcPr>
            <w:tcW w:type="dxa" w:w="12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27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28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31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t>Haushaltsgeräte, Zubehör und weitere Gegenstände</w:t>
            </w:r>
          </w:p>
        </w:tc>
        <w:tc>
          <w:tcPr>
            <w:tcW w:type="dxa" w:w="12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2750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288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9. Besondere Vereinbarungen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Vereinbarungen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/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  <w:p>
            <w:pPr>
              <w:spacing w:before="6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10. Anhänge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Kopie / relevante Bestimmungen des Hauptmietvertrags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Zustimmung oder Information der Vermieterschaft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Übergabeprotokoll und Schlüsselverzeichnis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Inventarliste bei möblierter Untervermietung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Hausordnung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weitere: ______________________________</w:t>
      </w:r>
    </w:p>
    <w:p>
      <w:pPr>
        <w:pStyle w:val="Heading1"/>
      </w:pPr>
      <w:r>
        <w:t>Unterschriften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017"/>
        <w:gridCol w:w="5018"/>
      </w:tblGrid>
      <w:tr>
        <w:trPr>
          <w:cantSplit/>
        </w:trPr>
        <w:tc>
          <w:tcPr>
            <w:tcW w:type="dxa" w:w="5017"/>
            <w:shd w:fill="FAFCFA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rPr>
                <w:b/>
              </w:rPr>
              <w:t>Hauptmieterschaft</w:t>
            </w:r>
          </w:p>
          <w:p>
            <w:pPr>
              <w:spacing w:before="60" w:after="20"/>
            </w:pPr>
            <w:r>
              <w:t>Ort / Datum</w:t>
            </w:r>
          </w:p>
          <w:p>
            <w:pPr>
              <w:spacing w:line="115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  <w:p>
            <w:pPr>
              <w:spacing w:before="60" w:after="20"/>
            </w:pPr>
            <w:r>
              <w:t>Name / Funktion</w:t>
            </w:r>
          </w:p>
          <w:p>
            <w:pPr>
              <w:spacing w:line="115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  <w:p>
            <w:pPr>
              <w:spacing w:before="60" w:after="20"/>
            </w:pPr>
            <w:r>
              <w:t>Unterschrift</w:t>
            </w:r>
          </w:p>
          <w:p>
            <w:pPr>
              <w:spacing w:line="173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</w:tc>
        <w:tc>
          <w:tcPr>
            <w:tcW w:type="dxa" w:w="5018"/>
            <w:shd w:fill="FAFCFA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  <w:r>
              <w:rPr>
                <w:b/>
              </w:rPr>
              <w:t>Untermieterschaft</w:t>
            </w:r>
          </w:p>
          <w:p>
            <w:pPr>
              <w:spacing w:before="60" w:after="20"/>
            </w:pPr>
            <w:r>
              <w:t>Ort / Datum</w:t>
            </w:r>
          </w:p>
          <w:p>
            <w:pPr>
              <w:spacing w:line="115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  <w:p>
            <w:pPr>
              <w:spacing w:before="60" w:after="20"/>
            </w:pPr>
            <w:r>
              <w:t>Name / Funktion</w:t>
            </w:r>
          </w:p>
          <w:p>
            <w:pPr>
              <w:spacing w:line="115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  <w:p>
            <w:pPr>
              <w:spacing w:before="60" w:after="20"/>
            </w:pPr>
            <w:r>
              <w:t>Unterschrift</w:t>
            </w:r>
          </w:p>
          <w:p>
            <w:pPr>
              <w:spacing w:line="173" w:lineRule="auto" w:after="20"/>
              <w:pBdr>
                <w:bottom w:val="single" w:sz="5" w:space="2" w:color="5E6B65"/>
              </w:pBdr>
            </w:pPr>
            <w:r>
              <w:t xml:space="preserve"> </w:t>
            </w:r>
          </w:p>
        </w:tc>
      </w:tr>
    </w:tbl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shd w:fill="F3F6F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20"/>
            </w:pPr>
            <w:r>
              <w:rPr>
                <w:sz w:val="16"/>
              </w:rPr>
            </w:r>
            <w:r>
              <w:rPr>
                <w:b/>
                <w:color w:val="173D32"/>
                <w:sz w:val="16"/>
              </w:rPr>
              <w:t xml:space="preserve">Hinweis: </w:t>
            </w:r>
            <w:r>
              <w:rPr>
                <w:sz w:val="16"/>
              </w:rPr>
              <w:t>Allgemeine Schweizer Vorlage, keine Rechtsberatung. Zwingendes Recht, kantonale Vorschriften, amtliche Formulare und die konkrete Vertragslage gehen vor; bei Streit oder besonderen Verhältnissen ist eine fachliche Prüfung empfohlen.</w:t>
            </w:r>
          </w:p>
          <w:p>
            <w:pPr>
              <w:spacing w:after="20"/>
            </w:pPr>
            <w:r>
              <w:rPr>
                <w:b/>
                <w:sz w:val="16"/>
              </w:rPr>
              <w:t xml:space="preserve">Berücksichtigte Grundlagen: </w:t>
            </w:r>
            <w:r>
              <w:rPr>
                <w:sz w:val="16"/>
              </w:rPr>
              <w:t>OR Art. 253 ff., insbesondere Art. 257a-257b (Nebenkosten), Art. 257e (Sicherheit) und Art. 262 (Untermiete). Der Hauptmietvertrag, zwingendes Recht und kantonale Vorschriften bleiben vorbehalten.</w:t>
            </w:r>
          </w:p>
          <w:p>
            <w:pPr>
              <w:spacing w:after="0"/>
            </w:pPr>
            <w:r>
              <w:rPr>
                <w:b/>
                <w:sz w:val="16"/>
              </w:rPr>
              <w:t xml:space="preserve">Offizielle Quellen: </w:t>
            </w:r>
            <w:r>
              <w:rPr>
                <w:sz w:val="16"/>
              </w:rPr>
              <w:t>fedlex.admin.ch (OR SR 220; ZGB SR 210) und bwo.admin.ch/de/formularpflicht. Rechtsstand: August 2026.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62" w:right="935" w:bottom="765" w:left="935" w:header="255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rFonts w:ascii="Arial" w:hAnsi="Arial"/>
        <w:color w:val="5E6B65"/>
        <w:sz w:val="14"/>
      </w:rPr>
      <w:t xml:space="preserve">WohnFair.ch  |  Stand: August 2026  |  Seite </w:t>
    </w:r>
    <w: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dxa" w:w="10035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4600"/>
      <w:gridCol w:w="5435"/>
    </w:tblGrid>
    <w:tr>
      <w:trPr>
        <w:cantSplit/>
      </w:trPr>
      <w:tc>
        <w:tcPr>
          <w:tcW w:type="dxa" w:w="4600"/>
          <w:tcMar>
            <w:top w:w="0" w:type="dxa"/>
            <w:start w:w="0" w:type="dxa"/>
            <w:bottom w:w="20" w:type="dxa"/>
            <w:end w:w="0" w:type="dxa"/>
          </w:tcMar>
          <w:vAlign w:val="center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494000" cy="346421"/>
                <wp:docPr id="1" name="Picture 1" descr="WohnFair.ch Logo" title="WohnFair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ohnfair-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000" cy="34642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35"/>
          <w:tcMar>
            <w:top w:w="0" w:type="dxa"/>
            <w:start w:w="0" w:type="dxa"/>
            <w:bottom w:w="20" w:type="dxa"/>
            <w:end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5E6B65"/>
              <w:sz w:val="14"/>
            </w:rPr>
            <w:t>Immobiliendokument von WohnFair.ch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color w:val="17221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73D3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173D32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17221D"/>
      <w:sz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ind w:left="312" w:hanging="142"/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30"/>
      <w:ind w:left="312" w:hanging="142"/>
      <w:contextualSpacing/>
    </w:pPr>
    <w:rPr>
      <w:rFonts w:ascii="Arial" w:hAnsi="Arial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FTitle">
    <w:name w:val="WF Title"/>
    <w:pPr>
      <w:keepNext/>
      <w:spacing w:before="0" w:after="60"/>
    </w:pPr>
    <w:rPr>
      <w:rFonts w:ascii="Arial" w:hAnsi="Arial"/>
      <w:b/>
      <w:color w:val="173D32"/>
      <w:sz w:val="34"/>
    </w:rPr>
  </w:style>
  <w:style w:type="paragraph" w:customStyle="1" w:styleId="WFSubtitle">
    <w:name w:val="WF Subtitle"/>
    <w:pPr>
      <w:keepNext/>
      <w:spacing w:before="0" w:after="140"/>
    </w:pPr>
    <w:rPr>
      <w:rFonts w:ascii="Arial" w:hAnsi="Arial"/>
      <w:b w:val="0"/>
      <w:color w:val="5E6B6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Untermietvertrag für Wohnräume</dc:title>
  <dc:subject>Schweizer Immobilienvorlage</dc:subject>
  <dc:creator>WohnFair</dc:creator>
  <cp:keywords>Schweiz, Immobilien, Vorlage, WohnFair</cp:keywords>
  <dc:description>generated by python-docx</dc:description>
  <cp:lastModifiedBy>WohnFair</cp:lastModifiedBy>
  <cp:revision>1</cp:revision>
  <dcterms:created xsi:type="dcterms:W3CDTF">2013-12-23T23:15:00Z</dcterms:created>
  <dcterms:modified xsi:type="dcterms:W3CDTF">2013-12-23T23:15:00Z</dcterms:modified>
  <cp:category/>
</cp:coreProperties>
</file>