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FTitle"/>
      </w:pPr>
      <w:r>
        <w:t>Mietzinsanpassung wegen Referenzzinssatz</w:t>
      </w:r>
    </w:p>
    <w:p>
      <w:pPr>
        <w:pStyle w:val="WFSubtitle"/>
      </w:pPr>
      <w:r>
        <w:t>Senkungsbegehren der Mietpartei sowie Berechnungs- und Antwortblatt für die Vermieterschaft</w:t>
      </w:r>
    </w:p>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tcMar>
              <w:top w:w="105" w:type="dxa"/>
              <w:start w:w="120" w:type="dxa"/>
              <w:bottom w:w="105" w:type="dxa"/>
              <w:end w:w="120" w:type="dxa"/>
            </w:tcMar>
            <w:vAlign w:val="center"/>
            <w:shd w:fill="EAF1EC"/>
          </w:tcPr>
          <w:p>
            <w:pPr>
              <w:spacing w:after="40"/>
            </w:pPr>
            <w:r>
              <w:rPr>
                <w:b/>
                <w:color w:val="173D32"/>
              </w:rPr>
              <w:t>Aktueller Referenzzinssatz</w:t>
            </w:r>
          </w:p>
          <w:p>
            <w:pPr>
              <w:spacing w:after="0"/>
            </w:pPr>
            <w:r>
              <w:t>1,25 % – gültig seit 2. September 2025 und unverändert ab 2. Juni 2026. Vor dem Ausfüllen den aktuellen Stand beim Bundesamt für Wohnungswesen (BWO) prüfen. Massgebend ist der Referenzzinssatz, auf dem der heutige Nettomietzins beruht.</w:t>
            </w:r>
          </w:p>
        </w:tc>
      </w:tr>
    </w:tbl>
    <w:p>
      <w:pPr>
        <w:spacing w:after="0" w:line="96" w:lineRule="auto"/>
      </w:pPr>
    </w:p>
    <w:p>
      <w:pPr>
        <w:pStyle w:val="Heading1"/>
      </w:pPr>
      <w:r>
        <w:t>1. Schriftliches Senkungsbegehren der Mietpartei</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Mietpartei</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Name(n), Adresse, PLZ / Ort:</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Vermieterschaft / Verwaltung</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 / Firma, Adresse, PLZ / Ort:</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Mietobjekt</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Strasse / Nr., PLZ / Ort, Wohnung / Etage: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Mietvertrag</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Vertragsbeginn:  nächstmöglicher Kündigungstermin:</w:t>
            </w:r>
          </w:p>
          <w:p>
            <w:pPr>
              <w:spacing w:before="100" w:after="40" w:line="216" w:lineRule="auto"/>
              <w:pBdr>
                <w:bottom w:val="single" w:sz="5" w:space="2" w:color="CCD5CF"/>
              </w:pBdr>
            </w:pPr>
            <w:r>
              <w:t xml:space="preserve"> </w:t>
            </w:r>
          </w:p>
        </w:tc>
      </w:tr>
    </w:tbl>
    <w:p>
      <w:pPr>
        <w:spacing w:after="0"/>
      </w:pPr>
    </w:p>
    <w:p>
      <w:pPr>
        <w:spacing w:after="80"/>
      </w:pPr>
      <w:r>
        <w:rPr>
          <w:b/>
        </w:rPr>
        <w:t>Betreff: Antrag auf Herabsetzung des Nettomietzinses</w:t>
      </w:r>
    </w:p>
    <w:p>
      <w:r>
        <w:t>Sehr geehrte Damen und Herren</w:t>
        <w:br/>
        <w:br/>
        <w:t>Der für meinen/unseren Nettomietzins massgebende hypothekarische Referenzzinssatz ist gesunken. Gestützt auf Art. 270a OR ersuche ich/ersuchen wir Sie deshalb, den Nettomietzins auf den nächstmöglichen Kündigungstermin zu überprüfen und angemessen herabzusetzen. Bitte legen Sie eine allfällige Verrechnung mit Teuerung, Kostensteigerungen oder weiteren Faktoren nachvollziehbar offen.</w:t>
      </w:r>
    </w:p>
    <w:p>
      <w:pPr>
        <w:pStyle w:val="Heading2"/>
      </w:pPr>
      <w:r>
        <w:t>Angaben zur Berechnung</w:t>
      </w:r>
    </w:p>
    <w:tbl>
      <w:tblPr>
        <w:tblStyle w:val="TableGrid"/>
        <w:tblW w:type="dxa" w:w="10035"/>
        <w:jc w:val="left"/>
        <w:tblLayout w:type="fixed"/>
        <w:tblLook w:firstColumn="1" w:firstRow="1" w:lastColumn="0" w:lastRow="0" w:noHBand="0" w:noVBand="1" w:val="04A0"/>
        <w:tblInd w:w="120" w:type="dxa"/>
      </w:tblPr>
      <w:tblGrid>
        <w:gridCol w:w="4300"/>
        <w:gridCol w:w="2750"/>
        <w:gridCol w:w="2985"/>
      </w:tblGrid>
      <w:tr>
        <w:trPr>
          <w:cantSplit/>
          <w:tblHeader w:val="true"/>
        </w:trPr>
        <w:tc>
          <w:tcPr>
            <w:tcW w:type="dxa" w:w="4300"/>
            <w:shd w:fill="173D32"/>
            <w:tcMar>
              <w:top w:w="105" w:type="dxa"/>
              <w:start w:w="120" w:type="dxa"/>
              <w:bottom w:w="105" w:type="dxa"/>
              <w:end w:w="120" w:type="dxa"/>
            </w:tcMar>
            <w:vAlign w:val="center"/>
          </w:tcPr>
          <w:p>
            <w:r>
              <w:rPr>
                <w:b/>
                <w:color w:val="FFFFFF"/>
                <w:sz w:val="17"/>
              </w:rPr>
              <w:t>Berechnungsgrundlage</w:t>
            </w:r>
          </w:p>
        </w:tc>
        <w:tc>
          <w:tcPr>
            <w:tcW w:type="dxa" w:w="2750"/>
            <w:shd w:fill="173D32"/>
            <w:tcMar>
              <w:top w:w="105" w:type="dxa"/>
              <w:start w:w="120" w:type="dxa"/>
              <w:bottom w:w="105" w:type="dxa"/>
              <w:end w:w="120" w:type="dxa"/>
            </w:tcMar>
            <w:vAlign w:val="center"/>
          </w:tcPr>
          <w:p>
            <w:r>
              <w:rPr>
                <w:b/>
                <w:color w:val="FFFFFF"/>
                <w:sz w:val="17"/>
              </w:rPr>
              <w:t>Bisher</w:t>
            </w:r>
          </w:p>
        </w:tc>
        <w:tc>
          <w:tcPr>
            <w:tcW w:type="dxa" w:w="2985"/>
            <w:shd w:fill="173D32"/>
            <w:tcMar>
              <w:top w:w="105" w:type="dxa"/>
              <w:start w:w="120" w:type="dxa"/>
              <w:bottom w:w="105" w:type="dxa"/>
              <w:end w:w="120" w:type="dxa"/>
            </w:tcMar>
            <w:vAlign w:val="center"/>
          </w:tcPr>
          <w:p>
            <w:r>
              <w:rPr>
                <w:b/>
                <w:color w:val="FFFFFF"/>
                <w:sz w:val="17"/>
              </w:rPr>
              <w:t>Neu / beantragt</w:t>
            </w:r>
          </w:p>
        </w:tc>
      </w:tr>
      <w:tr>
        <w:trPr>
          <w:cantSplit/>
        </w:trPr>
        <w:tc>
          <w:tcPr>
            <w:tcW w:type="dxa" w:w="4300"/>
            <w:tcMar>
              <w:top w:w="105" w:type="dxa"/>
              <w:start w:w="120" w:type="dxa"/>
              <w:bottom w:w="105" w:type="dxa"/>
              <w:end w:w="120" w:type="dxa"/>
            </w:tcMar>
            <w:vAlign w:val="center"/>
          </w:tcPr>
          <w:p>
            <w:r/>
            <w:r>
              <w:t>Nettomietzins pro Monat</w:t>
            </w:r>
          </w:p>
        </w:tc>
        <w:tc>
          <w:tcPr>
            <w:tcW w:type="dxa" w:w="2750"/>
            <w:tcMar>
              <w:top w:w="105" w:type="dxa"/>
              <w:start w:w="120" w:type="dxa"/>
              <w:bottom w:w="105" w:type="dxa"/>
              <w:end w:w="120" w:type="dxa"/>
            </w:tcMar>
            <w:vAlign w:val="center"/>
          </w:tcPr>
          <w:p>
            <w:r/>
            <w:r>
              <w:t>CHF</w:t>
            </w:r>
          </w:p>
        </w:tc>
        <w:tc>
          <w:tcPr>
            <w:tcW w:type="dxa" w:w="2985"/>
            <w:tcMar>
              <w:top w:w="105" w:type="dxa"/>
              <w:start w:w="120" w:type="dxa"/>
              <w:bottom w:w="105" w:type="dxa"/>
              <w:end w:w="120" w:type="dxa"/>
            </w:tcMar>
            <w:vAlign w:val="center"/>
          </w:tcPr>
          <w:p>
            <w:r/>
            <w:r>
              <w:t>CHF</w:t>
            </w:r>
          </w:p>
        </w:tc>
      </w:tr>
      <w:tr>
        <w:trPr>
          <w:cantSplit/>
        </w:trPr>
        <w:tc>
          <w:tcPr>
            <w:tcW w:type="dxa" w:w="4300"/>
            <w:tcMar>
              <w:top w:w="105" w:type="dxa"/>
              <w:start w:w="120" w:type="dxa"/>
              <w:bottom w:w="105" w:type="dxa"/>
              <w:end w:w="120" w:type="dxa"/>
            </w:tcMar>
            <w:vAlign w:val="center"/>
          </w:tcPr>
          <w:p>
            <w:r/>
            <w:r>
              <w:t>Massgebender Referenzzinssatz</w:t>
            </w:r>
          </w:p>
        </w:tc>
        <w:tc>
          <w:tcPr>
            <w:tcW w:type="dxa" w:w="2750"/>
            <w:tcMar>
              <w:top w:w="105" w:type="dxa"/>
              <w:start w:w="120" w:type="dxa"/>
              <w:bottom w:w="105" w:type="dxa"/>
              <w:end w:w="120" w:type="dxa"/>
            </w:tcMar>
            <w:vAlign w:val="center"/>
          </w:tcPr>
          <w:p>
            <w:r/>
            <w:r>
              <w:t>%</w:t>
            </w:r>
          </w:p>
        </w:tc>
        <w:tc>
          <w:tcPr>
            <w:tcW w:type="dxa" w:w="2985"/>
            <w:tcMar>
              <w:top w:w="105" w:type="dxa"/>
              <w:start w:w="120" w:type="dxa"/>
              <w:bottom w:w="105" w:type="dxa"/>
              <w:end w:w="120" w:type="dxa"/>
            </w:tcMar>
            <w:vAlign w:val="center"/>
          </w:tcPr>
          <w:p>
            <w:r/>
            <w:r>
              <w:t>%</w:t>
            </w:r>
          </w:p>
        </w:tc>
      </w:tr>
      <w:tr>
        <w:trPr>
          <w:cantSplit/>
        </w:trPr>
        <w:tc>
          <w:tcPr>
            <w:tcW w:type="dxa" w:w="4300"/>
            <w:tcMar>
              <w:top w:w="105" w:type="dxa"/>
              <w:start w:w="120" w:type="dxa"/>
              <w:bottom w:w="105" w:type="dxa"/>
              <w:end w:w="120" w:type="dxa"/>
            </w:tcMar>
            <w:vAlign w:val="center"/>
          </w:tcPr>
          <w:p>
            <w:r/>
            <w:r>
              <w:t>Senkung aus Referenzzinssatz</w:t>
            </w:r>
          </w:p>
        </w:tc>
        <w:tc>
          <w:tcPr>
            <w:tcW w:type="dxa" w:w="27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985"/>
            <w:tcMar>
              <w:top w:w="105" w:type="dxa"/>
              <w:start w:w="120" w:type="dxa"/>
              <w:bottom w:w="105" w:type="dxa"/>
              <w:end w:w="120" w:type="dxa"/>
            </w:tcMar>
            <w:vAlign w:val="center"/>
          </w:tcPr>
          <w:p>
            <w:r/>
            <w:r>
              <w:t>% / CHF</w:t>
            </w:r>
          </w:p>
        </w:tc>
      </w:tr>
      <w:tr>
        <w:trPr>
          <w:cantSplit/>
        </w:trPr>
        <w:tc>
          <w:tcPr>
            <w:tcW w:type="dxa" w:w="4300"/>
            <w:tcMar>
              <w:top w:w="105" w:type="dxa"/>
              <w:start w:w="120" w:type="dxa"/>
              <w:bottom w:w="105" w:type="dxa"/>
              <w:end w:w="120" w:type="dxa"/>
            </w:tcMar>
            <w:vAlign w:val="center"/>
          </w:tcPr>
          <w:p>
            <w:r/>
            <w:r>
              <w:t>Anrechenbare Gegenpositionen</w:t>
            </w:r>
          </w:p>
        </w:tc>
        <w:tc>
          <w:tcPr>
            <w:tcW w:type="dxa" w:w="2750"/>
            <w:tcMar>
              <w:top w:w="105" w:type="dxa"/>
              <w:start w:w="120" w:type="dxa"/>
              <w:bottom w:w="105" w:type="dxa"/>
              <w:end w:w="120" w:type="dxa"/>
            </w:tcMar>
            <w:vAlign w:val="center"/>
          </w:tcPr>
          <w:p>
            <w:r/>
            <w:r>
              <w:t>Begründung / Zeitraum</w:t>
            </w:r>
          </w:p>
        </w:tc>
        <w:tc>
          <w:tcPr>
            <w:tcW w:type="dxa" w:w="2985"/>
            <w:tcMar>
              <w:top w:w="105" w:type="dxa"/>
              <w:start w:w="120" w:type="dxa"/>
              <w:bottom w:w="105" w:type="dxa"/>
              <w:end w:w="120" w:type="dxa"/>
            </w:tcMar>
            <w:vAlign w:val="center"/>
          </w:tcPr>
          <w:p>
            <w:r/>
            <w:r>
              <w:t>% / CHF</w:t>
            </w:r>
          </w:p>
        </w:tc>
      </w:tr>
      <w:tr>
        <w:trPr>
          <w:cantSplit/>
        </w:trPr>
        <w:tc>
          <w:tcPr>
            <w:tcW w:type="dxa" w:w="4300"/>
            <w:tcMar>
              <w:top w:w="105" w:type="dxa"/>
              <w:start w:w="120" w:type="dxa"/>
              <w:bottom w:w="105" w:type="dxa"/>
              <w:end w:w="120" w:type="dxa"/>
            </w:tcMar>
            <w:vAlign w:val="center"/>
          </w:tcPr>
          <w:p>
            <w:r/>
            <w:r>
              <w:t>Beantragter Nettomietzins</w:t>
            </w:r>
          </w:p>
        </w:tc>
        <w:tc>
          <w:tcPr>
            <w:tcW w:type="dxa" w:w="2750"/>
            <w:tcMar>
              <w:top w:w="105" w:type="dxa"/>
              <w:start w:w="120" w:type="dxa"/>
              <w:bottom w:w="105" w:type="dxa"/>
              <w:end w:w="120" w:type="dxa"/>
            </w:tcMar>
            <w:vAlign w:val="center"/>
          </w:tcPr>
          <w:p>
            <w:r/>
            <w:r>
              <w:t>gültig bis</w:t>
            </w:r>
          </w:p>
        </w:tc>
        <w:tc>
          <w:tcPr>
            <w:tcW w:type="dxa" w:w="2985"/>
            <w:tcMar>
              <w:top w:w="105" w:type="dxa"/>
              <w:start w:w="120" w:type="dxa"/>
              <w:bottom w:w="105" w:type="dxa"/>
              <w:end w:w="120" w:type="dxa"/>
            </w:tcMar>
            <w:vAlign w:val="center"/>
          </w:tcPr>
          <w:p>
            <w:r/>
            <w:r>
              <w:t>ab</w:t>
            </w:r>
          </w:p>
        </w:tc>
      </w:tr>
    </w:tbl>
    <w:p>
      <w:pPr>
        <w:spacing w:after="0"/>
      </w:pPr>
    </w:p>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tcMar>
              <w:top w:w="105" w:type="dxa"/>
              <w:start w:w="120" w:type="dxa"/>
              <w:bottom w:w="105" w:type="dxa"/>
              <w:end w:w="120" w:type="dxa"/>
            </w:tcMar>
            <w:vAlign w:val="center"/>
            <w:shd w:fill="F5F2EA"/>
          </w:tcPr>
          <w:p>
            <w:pPr>
              <w:spacing w:after="40"/>
            </w:pPr>
            <w:r>
              <w:rPr>
                <w:b/>
                <w:color w:val="173D32"/>
              </w:rPr>
              <w:t>Frist und Zustellung</w:t>
            </w:r>
          </w:p>
          <w:p>
            <w:pPr>
              <w:spacing w:after="0"/>
            </w:pPr>
            <w:r>
              <w:t>Das Begehren schriftlich und nachweisbar zustellen, empfohlen per Einschreiben. Die Vermieterschaft muss innert 30 Tagen Stellung nehmen. Bei Ablehnung, Teilablehnung oder ausbleibender Antwort kann die Mietpartei innert 30 Tagen die zuständige Schlichtungsbehörde anrufen (Art. 270a OR).</w:t>
            </w:r>
          </w:p>
        </w:tc>
      </w:tr>
    </w:tbl>
    <w:p>
      <w:pPr>
        <w:spacing w:after="0" w:line="96" w:lineRule="auto"/>
      </w:pPr>
    </w:p>
    <w:p>
      <w:pPr>
        <w:pStyle w:val="Heading2"/>
      </w:pPr>
      <w:r>
        <w:t>Unterschrift</w:t>
      </w:r>
    </w:p>
    <w:tbl>
      <w:tblPr>
        <w:tblW w:type="dxa" w:w="10035"/>
        <w:jc w:val="left"/>
        <w:tblLayout w:type="fixed"/>
        <w:tblLook w:firstColumn="1" w:firstRow="1" w:lastColumn="0" w:lastRow="0" w:noHBand="0" w:noVBand="1" w:val="04A0"/>
        <w:tblInd w:w="120" w:type="dxa"/>
      </w:tblPr>
      <w:tblGrid>
        <w:gridCol w:w="3345"/>
        <w:gridCol w:w="3345"/>
        <w:gridCol w:w="3345"/>
      </w:tblGrid>
      <w:tr>
        <w:trPr>
          <w:cantSplit/>
        </w:trPr>
        <w:tc>
          <w:tcPr>
            <w:tcW w:type="dxa" w:w="3345"/>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Ort / Datum</w:t>
            </w:r>
          </w:p>
        </w:tc>
        <w:tc>
          <w:tcPr>
            <w:tcW w:type="dxa" w:w="3345"/>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Name / Funktion</w:t>
            </w:r>
          </w:p>
        </w:tc>
        <w:tc>
          <w:tcPr>
            <w:tcW w:type="dxa" w:w="3345"/>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Unterschrift</w:t>
            </w:r>
          </w:p>
        </w:tc>
      </w:tr>
      <w:tr>
        <w:trPr>
          <w:cantSplit/>
        </w:trPr>
        <w:tc>
          <w:tcPr>
            <w:tcW w:type="dxa" w:w="3345"/>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pPr>
              <w:spacing w:before="200" w:after="20"/>
              <w:pBdr>
                <w:bottom w:val="single" w:sz="5" w:space="2" w:color="5E6B65"/>
              </w:pBdr>
            </w:pPr>
            <w:r/>
            <w:r>
              <w:t xml:space="preserve"> </w:t>
            </w:r>
            <w:r>
              <w:rPr>
                <w:sz w:val="14"/>
              </w:rPr>
              <w:t xml:space="preserve">  Mietpartei(en)</w:t>
            </w:r>
          </w:p>
        </w:tc>
        <w:tc>
          <w:tcPr>
            <w:tcW w:type="dxa" w:w="3345"/>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pPr>
              <w:spacing w:before="200" w:after="20"/>
              <w:pBdr>
                <w:bottom w:val="single" w:sz="5" w:space="2" w:color="5E6B65"/>
              </w:pBdr>
            </w:pPr>
            <w:r/>
            <w:r>
              <w:t xml:space="preserve"> </w:t>
            </w:r>
          </w:p>
        </w:tc>
        <w:tc>
          <w:tcPr>
            <w:tcW w:type="dxa" w:w="3345"/>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pPr>
              <w:spacing w:before="200" w:after="20"/>
              <w:pBdr>
                <w:bottom w:val="single" w:sz="5" w:space="2" w:color="5E6B65"/>
              </w:pBdr>
            </w:pPr>
            <w:r/>
            <w:r>
              <w:t xml:space="preserve"> </w:t>
            </w:r>
          </w:p>
        </w:tc>
      </w:tr>
    </w:tbl>
    <w:p>
      <w:r>
        <w:br w:type="page"/>
      </w:r>
    </w:p>
    <w:p>
      <w:pPr>
        <w:pStyle w:val="Heading1"/>
      </w:pPr>
      <w:r>
        <w:t>2. Berechnungs- und Antwortblatt der Vermieterschaft</w:t>
      </w:r>
    </w:p>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tcMar>
              <w:top w:w="105" w:type="dxa"/>
              <w:start w:w="120" w:type="dxa"/>
              <w:bottom w:w="105" w:type="dxa"/>
              <w:end w:w="120" w:type="dxa"/>
            </w:tcMar>
            <w:vAlign w:val="center"/>
            <w:shd w:fill="FBE8E6"/>
          </w:tcPr>
          <w:p>
            <w:pPr>
              <w:spacing w:after="40"/>
            </w:pPr>
            <w:r>
              <w:rPr>
                <w:b/>
                <w:color w:val="173D32"/>
              </w:rPr>
              <w:t>Wichtig bei einer Erhöhung</w:t>
            </w:r>
          </w:p>
          <w:p>
            <w:pPr>
              <w:spacing w:after="0"/>
            </w:pPr>
            <w:r>
              <w:t>Dieses WohnFair-Dokument ist kein amtliches Formular. Eine Mietzinserhöhung oder andere einseitige Vertragsänderung zulasten der Mietpartei ist nur mit dem amtlich genehmigten Formular des zuständigen Kantons, mit Begründung und unter Einhaltung der gesetzlichen Frist mitzuteilen (Art. 269d OR; Art. 19 VMWG).</w:t>
            </w:r>
          </w:p>
        </w:tc>
      </w:tr>
    </w:tbl>
    <w:p>
      <w:pPr>
        <w:spacing w:after="0" w:line="96" w:lineRule="auto"/>
      </w:pPr>
    </w:p>
    <w:tbl>
      <w:tblPr>
        <w:tblStyle w:val="TableGrid"/>
        <w:tblW w:type="dxa" w:w="10035"/>
        <w:jc w:val="left"/>
        <w:tblLayout w:type="fixed"/>
        <w:tblLook w:firstColumn="1" w:firstRow="1" w:lastColumn="0" w:lastRow="0" w:noHBand="0" w:noVBand="1" w:val="04A0"/>
        <w:tblInd w:w="120" w:type="dxa"/>
      </w:tblPr>
      <w:tblGrid>
        <w:gridCol w:w="3300"/>
        <w:gridCol w:w="3350"/>
        <w:gridCol w:w="3385"/>
      </w:tblGrid>
      <w:tr>
        <w:trPr>
          <w:cantSplit/>
          <w:tblHeader w:val="true"/>
        </w:trPr>
        <w:tc>
          <w:tcPr>
            <w:tcW w:type="dxa" w:w="3300"/>
            <w:shd w:fill="173D32"/>
            <w:tcMar>
              <w:top w:w="105" w:type="dxa"/>
              <w:start w:w="120" w:type="dxa"/>
              <w:bottom w:w="105" w:type="dxa"/>
              <w:end w:w="120" w:type="dxa"/>
            </w:tcMar>
            <w:vAlign w:val="center"/>
          </w:tcPr>
          <w:p>
            <w:r>
              <w:rPr>
                <w:b/>
                <w:color w:val="FFFFFF"/>
                <w:sz w:val="17"/>
              </w:rPr>
              <w:t>Gesuch / Antwortfrist</w:t>
            </w:r>
          </w:p>
        </w:tc>
        <w:tc>
          <w:tcPr>
            <w:tcW w:type="dxa" w:w="3350"/>
            <w:shd w:fill="173D32"/>
            <w:tcMar>
              <w:top w:w="105" w:type="dxa"/>
              <w:start w:w="120" w:type="dxa"/>
              <w:bottom w:w="105" w:type="dxa"/>
              <w:end w:w="120" w:type="dxa"/>
            </w:tcMar>
            <w:vAlign w:val="center"/>
          </w:tcPr>
          <w:p>
            <w:r>
              <w:rPr>
                <w:b/>
                <w:color w:val="FFFFFF"/>
                <w:sz w:val="17"/>
              </w:rPr>
              <w:t>Letzte Mietzinsfestsetzung</w:t>
            </w:r>
          </w:p>
        </w:tc>
        <w:tc>
          <w:tcPr>
            <w:tcW w:type="dxa" w:w="3385"/>
            <w:shd w:fill="173D32"/>
            <w:tcMar>
              <w:top w:w="105" w:type="dxa"/>
              <w:start w:w="120" w:type="dxa"/>
              <w:bottom w:w="105" w:type="dxa"/>
              <w:end w:w="120" w:type="dxa"/>
            </w:tcMar>
            <w:vAlign w:val="center"/>
          </w:tcPr>
          <w:p>
            <w:r>
              <w:rPr>
                <w:b/>
                <w:color w:val="FFFFFF"/>
                <w:sz w:val="17"/>
              </w:rPr>
              <w:t>Mietobjekt / Mietpartei</w:t>
            </w:r>
          </w:p>
        </w:tc>
      </w:tr>
      <w:tr>
        <w:trPr>
          <w:cantSplit/>
        </w:trPr>
        <w:tc>
          <w:tcPr>
            <w:tcW w:type="dxa" w:w="3300"/>
            <w:tcMar>
              <w:top w:w="105" w:type="dxa"/>
              <w:start w:w="120" w:type="dxa"/>
              <w:bottom w:w="105" w:type="dxa"/>
              <w:end w:w="120" w:type="dxa"/>
            </w:tcMar>
            <w:vAlign w:val="center"/>
          </w:tcPr>
          <w:p>
            <w:r/>
            <w:r>
              <w:t>Eingang:  30 Tage bis:</w:t>
            </w:r>
          </w:p>
        </w:tc>
        <w:tc>
          <w:tcPr>
            <w:tcW w:type="dxa" w:w="3350"/>
            <w:tcMar>
              <w:top w:w="105" w:type="dxa"/>
              <w:start w:w="120" w:type="dxa"/>
              <w:bottom w:w="105" w:type="dxa"/>
              <w:end w:w="120" w:type="dxa"/>
            </w:tcMar>
            <w:vAlign w:val="center"/>
          </w:tcPr>
          <w:p>
            <w:r/>
            <w:r>
              <w:t>Datum / Beleg:</w:t>
            </w:r>
          </w:p>
          <w:p>
            <w:pPr>
              <w:spacing w:before="80" w:after="20" w:line="173" w:lineRule="auto"/>
              <w:pBdr>
                <w:bottom w:val="single" w:sz="4" w:space="2" w:color="CCD5CF"/>
              </w:pBdr>
            </w:pPr>
            <w:r>
              <w:t xml:space="preserve"> </w:t>
            </w:r>
          </w:p>
        </w:tc>
        <w:tc>
          <w:tcPr>
            <w:tcW w:type="dxa" w:w="338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Nachvollziehbare Berechnung</w:t>
      </w:r>
    </w:p>
    <w:tbl>
      <w:tblPr>
        <w:tblStyle w:val="TableGrid"/>
        <w:tblW w:type="dxa" w:w="10035"/>
        <w:jc w:val="left"/>
        <w:tblLayout w:type="fixed"/>
        <w:tblLook w:firstColumn="1" w:firstRow="1" w:lastColumn="0" w:lastRow="0" w:noHBand="0" w:noVBand="1" w:val="04A0"/>
        <w:tblInd w:w="120" w:type="dxa"/>
      </w:tblPr>
      <w:tblGrid>
        <w:gridCol w:w="3200"/>
        <w:gridCol w:w="3150"/>
        <w:gridCol w:w="1500"/>
        <w:gridCol w:w="2185"/>
      </w:tblGrid>
      <w:tr>
        <w:trPr>
          <w:cantSplit/>
          <w:tblHeader w:val="true"/>
        </w:trPr>
        <w:tc>
          <w:tcPr>
            <w:tcW w:type="dxa" w:w="3200"/>
            <w:shd w:fill="173D32"/>
            <w:tcMar>
              <w:top w:w="105" w:type="dxa"/>
              <w:start w:w="120" w:type="dxa"/>
              <w:bottom w:w="105" w:type="dxa"/>
              <w:end w:w="120" w:type="dxa"/>
            </w:tcMar>
            <w:vAlign w:val="center"/>
          </w:tcPr>
          <w:p>
            <w:r>
              <w:rPr>
                <w:b/>
                <w:color w:val="FFFFFF"/>
                <w:sz w:val="17"/>
              </w:rPr>
              <w:t>Position</w:t>
            </w:r>
          </w:p>
        </w:tc>
        <w:tc>
          <w:tcPr>
            <w:tcW w:type="dxa" w:w="3150"/>
            <w:shd w:fill="173D32"/>
            <w:tcMar>
              <w:top w:w="105" w:type="dxa"/>
              <w:start w:w="120" w:type="dxa"/>
              <w:bottom w:w="105" w:type="dxa"/>
              <w:end w:w="120" w:type="dxa"/>
            </w:tcMar>
            <w:vAlign w:val="center"/>
          </w:tcPr>
          <w:p>
            <w:r>
              <w:rPr>
                <w:b/>
                <w:color w:val="FFFFFF"/>
                <w:sz w:val="17"/>
              </w:rPr>
              <w:t>Grundlage / Zeitraum</w:t>
            </w:r>
          </w:p>
        </w:tc>
        <w:tc>
          <w:tcPr>
            <w:tcW w:type="dxa" w:w="1500"/>
            <w:shd w:fill="173D32"/>
            <w:tcMar>
              <w:top w:w="105" w:type="dxa"/>
              <w:start w:w="120" w:type="dxa"/>
              <w:bottom w:w="105" w:type="dxa"/>
              <w:end w:w="120" w:type="dxa"/>
            </w:tcMar>
            <w:vAlign w:val="center"/>
          </w:tcPr>
          <w:p>
            <w:r>
              <w:rPr>
                <w:b/>
                <w:color w:val="FFFFFF"/>
                <w:sz w:val="17"/>
              </w:rPr>
              <w:t>Ansatz</w:t>
            </w:r>
          </w:p>
        </w:tc>
        <w:tc>
          <w:tcPr>
            <w:tcW w:type="dxa" w:w="2185"/>
            <w:shd w:fill="173D32"/>
            <w:tcMar>
              <w:top w:w="105" w:type="dxa"/>
              <w:start w:w="120" w:type="dxa"/>
              <w:bottom w:w="105" w:type="dxa"/>
              <w:end w:w="120" w:type="dxa"/>
            </w:tcMar>
            <w:vAlign w:val="center"/>
          </w:tcPr>
          <w:p>
            <w:r>
              <w:rPr>
                <w:b/>
                <w:color w:val="FFFFFF"/>
                <w:sz w:val="17"/>
              </w:rPr>
              <w:t>CHF pro Monat</w:t>
            </w:r>
          </w:p>
        </w:tc>
      </w:tr>
      <w:tr>
        <w:trPr>
          <w:cantSplit/>
        </w:trPr>
        <w:tc>
          <w:tcPr>
            <w:tcW w:type="dxa" w:w="3200"/>
            <w:tcMar>
              <w:top w:w="105" w:type="dxa"/>
              <w:start w:w="120" w:type="dxa"/>
              <w:bottom w:w="105" w:type="dxa"/>
              <w:end w:w="120" w:type="dxa"/>
            </w:tcMar>
            <w:vAlign w:val="center"/>
          </w:tcPr>
          <w:p>
            <w:r/>
            <w:r>
              <w:t>Bisheriger Nettomietzins</w:t>
            </w:r>
          </w:p>
        </w:tc>
        <w:tc>
          <w:tcPr>
            <w:tcW w:type="dxa" w:w="31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18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200"/>
            <w:tcMar>
              <w:top w:w="105" w:type="dxa"/>
              <w:start w:w="120" w:type="dxa"/>
              <w:bottom w:w="105" w:type="dxa"/>
              <w:end w:w="120" w:type="dxa"/>
            </w:tcMar>
            <w:vAlign w:val="center"/>
          </w:tcPr>
          <w:p>
            <w:r/>
            <w:r>
              <w:t>Referenzzinssatz: bisher → aktuell</w:t>
            </w:r>
          </w:p>
        </w:tc>
        <w:tc>
          <w:tcPr>
            <w:tcW w:type="dxa" w:w="3150"/>
            <w:tcMar>
              <w:top w:w="105" w:type="dxa"/>
              <w:start w:w="120" w:type="dxa"/>
              <w:bottom w:w="105" w:type="dxa"/>
              <w:end w:w="120" w:type="dxa"/>
            </w:tcMar>
            <w:vAlign w:val="center"/>
          </w:tcPr>
          <w:p>
            <w:r/>
            <w:r>
              <w:t>%  →  %</w:t>
            </w:r>
          </w:p>
        </w:tc>
        <w:tc>
          <w:tcPr>
            <w:tcW w:type="dxa" w:w="1500"/>
            <w:tcMar>
              <w:top w:w="105" w:type="dxa"/>
              <w:start w:w="120" w:type="dxa"/>
              <w:bottom w:w="105" w:type="dxa"/>
              <w:end w:w="120" w:type="dxa"/>
            </w:tcMar>
            <w:vAlign w:val="center"/>
          </w:tcPr>
          <w:p>
            <w:r/>
            <w:r>
              <w:t>%</w:t>
            </w:r>
          </w:p>
        </w:tc>
        <w:tc>
          <w:tcPr>
            <w:tcW w:type="dxa" w:w="218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200"/>
            <w:tcMar>
              <w:top w:w="105" w:type="dxa"/>
              <w:start w:w="120" w:type="dxa"/>
              <w:bottom w:w="105" w:type="dxa"/>
              <w:end w:w="120" w:type="dxa"/>
            </w:tcMar>
            <w:vAlign w:val="center"/>
          </w:tcPr>
          <w:p>
            <w:r/>
            <w:r>
              <w:t>Teuerung (40 % der LIK-Änderung)</w:t>
            </w:r>
          </w:p>
        </w:tc>
        <w:tc>
          <w:tcPr>
            <w:tcW w:type="dxa" w:w="3150"/>
            <w:tcMar>
              <w:top w:w="105" w:type="dxa"/>
              <w:start w:w="120" w:type="dxa"/>
              <w:bottom w:w="105" w:type="dxa"/>
              <w:end w:w="120" w:type="dxa"/>
            </w:tcMar>
            <w:vAlign w:val="center"/>
          </w:tcPr>
          <w:p>
            <w:r/>
            <w:r>
              <w:t>Index alt → neu</w:t>
            </w:r>
          </w:p>
        </w:tc>
        <w:tc>
          <w:tcPr>
            <w:tcW w:type="dxa" w:w="1500"/>
            <w:tcMar>
              <w:top w:w="105" w:type="dxa"/>
              <w:start w:w="120" w:type="dxa"/>
              <w:bottom w:w="105" w:type="dxa"/>
              <w:end w:w="120" w:type="dxa"/>
            </w:tcMar>
            <w:vAlign w:val="center"/>
          </w:tcPr>
          <w:p>
            <w:r/>
            <w:r>
              <w:t>%</w:t>
            </w:r>
          </w:p>
        </w:tc>
        <w:tc>
          <w:tcPr>
            <w:tcW w:type="dxa" w:w="218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200"/>
            <w:tcMar>
              <w:top w:w="105" w:type="dxa"/>
              <w:start w:w="120" w:type="dxa"/>
              <w:bottom w:w="105" w:type="dxa"/>
              <w:end w:w="120" w:type="dxa"/>
            </w:tcMar>
            <w:vAlign w:val="center"/>
          </w:tcPr>
          <w:p>
            <w:r/>
            <w:r>
              <w:t>Allgemeine Kostenveränderung</w:t>
            </w:r>
          </w:p>
        </w:tc>
        <w:tc>
          <w:tcPr>
            <w:tcW w:type="dxa" w:w="3150"/>
            <w:tcMar>
              <w:top w:w="105" w:type="dxa"/>
              <w:start w:w="120" w:type="dxa"/>
              <w:bottom w:w="105" w:type="dxa"/>
              <w:end w:w="120" w:type="dxa"/>
            </w:tcMar>
            <w:vAlign w:val="center"/>
          </w:tcPr>
          <w:p>
            <w:r/>
            <w:r>
              <w:t>Zeitraum und Belege</w:t>
            </w:r>
          </w:p>
        </w:tc>
        <w:tc>
          <w:tcPr>
            <w:tcW w:type="dxa" w:w="1500"/>
            <w:tcMar>
              <w:top w:w="105" w:type="dxa"/>
              <w:start w:w="120" w:type="dxa"/>
              <w:bottom w:w="105" w:type="dxa"/>
              <w:end w:w="120" w:type="dxa"/>
            </w:tcMar>
            <w:vAlign w:val="center"/>
          </w:tcPr>
          <w:p>
            <w:r/>
            <w:r>
              <w:t>%</w:t>
            </w:r>
          </w:p>
        </w:tc>
        <w:tc>
          <w:tcPr>
            <w:tcW w:type="dxa" w:w="218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200"/>
            <w:tcMar>
              <w:top w:w="105" w:type="dxa"/>
              <w:start w:w="120" w:type="dxa"/>
              <w:bottom w:w="105" w:type="dxa"/>
              <w:end w:w="120" w:type="dxa"/>
            </w:tcMar>
            <w:vAlign w:val="center"/>
          </w:tcPr>
          <w:p>
            <w:r/>
            <w:r>
              <w:t>Weitere zulässige Faktoren</w:t>
            </w:r>
          </w:p>
        </w:tc>
        <w:tc>
          <w:tcPr>
            <w:tcW w:type="dxa" w:w="3150"/>
            <w:tcMar>
              <w:top w:w="105" w:type="dxa"/>
              <w:start w:w="120" w:type="dxa"/>
              <w:bottom w:w="105" w:type="dxa"/>
              <w:end w:w="120" w:type="dxa"/>
            </w:tcMar>
            <w:vAlign w:val="center"/>
          </w:tcPr>
          <w:p>
            <w:r/>
            <w:r>
              <w:t>Begründung und Belege</w:t>
            </w:r>
          </w:p>
        </w:tc>
        <w:tc>
          <w:tcPr>
            <w:tcW w:type="dxa" w:w="1500"/>
            <w:tcMar>
              <w:top w:w="105" w:type="dxa"/>
              <w:start w:w="120" w:type="dxa"/>
              <w:bottom w:w="105" w:type="dxa"/>
              <w:end w:w="120" w:type="dxa"/>
            </w:tcMar>
            <w:vAlign w:val="center"/>
          </w:tcPr>
          <w:p>
            <w:r/>
            <w:r>
              <w:t>%</w:t>
            </w:r>
          </w:p>
        </w:tc>
        <w:tc>
          <w:tcPr>
            <w:tcW w:type="dxa" w:w="218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200"/>
            <w:tcMar>
              <w:top w:w="105" w:type="dxa"/>
              <w:start w:w="120" w:type="dxa"/>
              <w:bottom w:w="105" w:type="dxa"/>
              <w:end w:w="120" w:type="dxa"/>
            </w:tcMar>
            <w:vAlign w:val="center"/>
          </w:tcPr>
          <w:p>
            <w:r/>
            <w:r>
              <w:t>Neuer Nettomietzins</w:t>
            </w:r>
          </w:p>
        </w:tc>
        <w:tc>
          <w:tcPr>
            <w:tcW w:type="dxa" w:w="3150"/>
            <w:tcMar>
              <w:top w:w="105" w:type="dxa"/>
              <w:start w:w="120" w:type="dxa"/>
              <w:bottom w:w="105" w:type="dxa"/>
              <w:end w:w="120" w:type="dxa"/>
            </w:tcMar>
            <w:vAlign w:val="center"/>
          </w:tcPr>
          <w:p>
            <w:r/>
            <w:r>
              <w:t>ab nächstem Kündigungstermin</w:t>
            </w:r>
          </w:p>
        </w:tc>
        <w:tc>
          <w:tcPr>
            <w:tcW w:type="dxa" w:w="1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18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Entscheid und Begründung</w:t>
      </w:r>
    </w:p>
    <w:p>
      <w:pPr>
        <w:spacing w:after="30"/>
        <w:ind w:left="85" w:firstLine="0"/>
      </w:pPr>
      <w:r>
        <w:rPr>
          <w:b/>
        </w:rPr>
        <w:t xml:space="preserve">☐ </w:t>
      </w:r>
      <w:r>
        <w:t>Das Senkungsbegehren wird vollständig gutgeheissen.</w:t>
      </w:r>
    </w:p>
    <w:p>
      <w:pPr>
        <w:spacing w:after="30"/>
        <w:ind w:left="85" w:firstLine="0"/>
      </w:pPr>
      <w:r>
        <w:rPr>
          <w:b/>
        </w:rPr>
        <w:t xml:space="preserve">☐ </w:t>
      </w:r>
      <w:r>
        <w:t>Das Senkungsbegehren wird teilweise gutgeheissen; Berechnung und Gründe sind oben ausgewiesen.</w:t>
      </w:r>
    </w:p>
    <w:p>
      <w:pPr>
        <w:spacing w:after="30"/>
        <w:ind w:left="85" w:firstLine="0"/>
      </w:pPr>
      <w:r>
        <w:rPr>
          <w:b/>
        </w:rPr>
        <w:t xml:space="preserve">☐ </w:t>
      </w:r>
      <w:r>
        <w:t>Das Senkungsbegehren wird abgelehnt; vollständige Begründung: ________________________________</w:t>
      </w:r>
    </w:p>
    <w:p>
      <w:pPr>
        <w:spacing w:before="40" w:after="40"/>
        <w:pBdr>
          <w:bottom w:val="single" w:sz="5" w:space="2" w:color="CCD5CF"/>
        </w:pBdr>
      </w:pPr>
      <w:r>
        <w:t>Neuer Nettomietzins / gültig ab:  CHF __________________  /  __________________    Beilagen: __________________</w:t>
      </w:r>
    </w:p>
    <w:p>
      <w:pPr>
        <w:pStyle w:val="Heading2"/>
      </w:pPr>
      <w:r>
        <w:t>Unterschrift</w:t>
      </w:r>
    </w:p>
    <w:tbl>
      <w:tblPr>
        <w:tblW w:type="dxa" w:w="10035"/>
        <w:jc w:val="left"/>
        <w:tblLayout w:type="fixed"/>
        <w:tblLook w:firstColumn="1" w:firstRow="1" w:lastColumn="0" w:lastRow="0" w:noHBand="0" w:noVBand="1" w:val="04A0"/>
        <w:tblInd w:w="120" w:type="dxa"/>
      </w:tblPr>
      <w:tblGrid>
        <w:gridCol w:w="3345"/>
        <w:gridCol w:w="3345"/>
        <w:gridCol w:w="3345"/>
      </w:tblGrid>
      <w:tr>
        <w:trPr>
          <w:cantSplit/>
        </w:trPr>
        <w:tc>
          <w:tcPr>
            <w:tcW w:type="dxa" w:w="3345"/>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Ort / Datum</w:t>
            </w:r>
          </w:p>
        </w:tc>
        <w:tc>
          <w:tcPr>
            <w:tcW w:type="dxa" w:w="3345"/>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Name / Funktion</w:t>
            </w:r>
          </w:p>
        </w:tc>
        <w:tc>
          <w:tcPr>
            <w:tcW w:type="dxa" w:w="3345"/>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Unterschrift</w:t>
            </w:r>
          </w:p>
        </w:tc>
      </w:tr>
      <w:tr>
        <w:trPr>
          <w:cantSplit/>
        </w:trPr>
        <w:tc>
          <w:tcPr>
            <w:tcW w:type="dxa" w:w="3345"/>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pPr>
              <w:spacing w:before="200" w:after="20"/>
              <w:pBdr>
                <w:bottom w:val="single" w:sz="5" w:space="2" w:color="5E6B65"/>
              </w:pBdr>
            </w:pPr>
            <w:r/>
            <w:r>
              <w:t xml:space="preserve"> </w:t>
            </w:r>
            <w:r>
              <w:rPr>
                <w:sz w:val="14"/>
              </w:rPr>
              <w:t xml:space="preserve">  Vermieterschaft / Verwaltung</w:t>
            </w:r>
          </w:p>
        </w:tc>
        <w:tc>
          <w:tcPr>
            <w:tcW w:type="dxa" w:w="3345"/>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pPr>
              <w:spacing w:before="200" w:after="20"/>
              <w:pBdr>
                <w:bottom w:val="single" w:sz="5" w:space="2" w:color="5E6B65"/>
              </w:pBdr>
            </w:pPr>
            <w:r/>
            <w:r>
              <w:t xml:space="preserve"> </w:t>
            </w:r>
          </w:p>
        </w:tc>
        <w:tc>
          <w:tcPr>
            <w:tcW w:type="dxa" w:w="3345"/>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pPr>
              <w:spacing w:before="200" w:after="20"/>
              <w:pBdr>
                <w:bottom w:val="single" w:sz="5" w:space="2" w:color="5E6B65"/>
              </w:pBdr>
            </w:pPr>
            <w:r/>
            <w:r>
              <w:t xml:space="preserve"> </w:t>
            </w:r>
          </w:p>
        </w:tc>
      </w:tr>
    </w:tbl>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shd w:fill="F3F6F3"/>
            <w:tcMar>
              <w:top w:w="105" w:type="dxa"/>
              <w:start w:w="120" w:type="dxa"/>
              <w:bottom w:w="105" w:type="dxa"/>
              <w:end w:w="120" w:type="dxa"/>
            </w:tcMar>
            <w:vAlign w:val="center"/>
          </w:tcPr>
          <w:p>
            <w:pPr>
              <w:spacing w:after="20"/>
            </w:pPr>
            <w:r>
              <w:rPr>
                <w:sz w:val="16"/>
              </w:rPr>
            </w:r>
            <w:r>
              <w:rPr>
                <w:b/>
                <w:color w:val="173D32"/>
                <w:sz w:val="16"/>
              </w:rPr>
              <w:t xml:space="preserve">Hinweis: </w:t>
            </w:r>
            <w:r>
              <w:rPr>
                <w:sz w:val="16"/>
              </w:rPr>
              <w:t>Allgemeine Schweizer Vorlage, keine Rechtsberatung. Zwingendes Recht, kantonale Vorschriften, amtliche Formulare und die konkrete Vertragslage gehen vor; bei Streit oder besonderen Verhältnissen ist eine fachliche Prüfung empfohlen.</w:t>
            </w:r>
          </w:p>
          <w:p>
            <w:pPr>
              <w:spacing w:after="20"/>
            </w:pPr>
            <w:r>
              <w:rPr>
                <w:b/>
                <w:sz w:val="16"/>
              </w:rPr>
              <w:t xml:space="preserve">Berücksichtigte Grundlagen: </w:t>
            </w:r>
            <w:r>
              <w:rPr>
                <w:sz w:val="16"/>
              </w:rPr>
              <w:t>Art. 269a, 269d, 270a und 270b OR; Art. 12a, 13 und 19 VMWG. Bei einer Änderung des Referenzzinssatzes um 0,25 Prozentpunkte beträgt die Erhöhung grundsätzlich höchstens 3 %; bei einer Senkung ergibt sich grundsätzlich ein Senkungsanspruch von 2,91 %. Separat vereinbarte Heiz- und Nebenkosten sind davon nicht betroffen. Die konkrete Berechnung ist vertragsbezogen.</w:t>
            </w:r>
          </w:p>
          <w:p>
            <w:pPr>
              <w:spacing w:after="0"/>
            </w:pPr>
            <w:r>
              <w:rPr>
                <w:b/>
                <w:sz w:val="16"/>
              </w:rPr>
              <w:t xml:space="preserve">Offizielle Quellen: </w:t>
            </w:r>
            <w:r>
              <w:rPr>
                <w:sz w:val="16"/>
              </w:rPr>
              <w:t>fedlex.admin.ch (OR SR 220; VMWG SR 221.213.11) und bwo.admin.ch/de/referenzzinssatz. Rechtsstand: August 2026.</w:t>
            </w:r>
          </w:p>
        </w:tc>
      </w:tr>
    </w:tbl>
    <w:sectPr w:rsidR="00FC693F" w:rsidRPr="0006063C" w:rsidSect="00034616">
      <w:headerReference w:type="default" r:id="rId9"/>
      <w:footerReference w:type="default" r:id="rId10"/>
      <w:pgSz w:w="11906" w:h="16838"/>
      <w:pgMar w:top="1162" w:right="935" w:bottom="765" w:left="935" w:header="255"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color w:val="5E6B65"/>
        <w:sz w:val="14"/>
      </w:rPr>
      <w:t xml:space="preserve">WohnFair.ch  |  Stand: August 2026  |  Seite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dxa" w:w="10035"/>
      <w:jc w:val="left"/>
      <w:tblLayout w:type="fixed"/>
      <w:tblLook w:firstColumn="1" w:firstRow="1" w:lastColumn="0" w:lastRow="0" w:noHBand="0" w:noVBand="1" w:val="04A0"/>
      <w:tblInd w:w="0" w:type="dxa"/>
    </w:tblPr>
    <w:tblGrid>
      <w:gridCol w:w="4600"/>
      <w:gridCol w:w="5435"/>
    </w:tblGrid>
    <w:tr>
      <w:trPr>
        <w:cantSplit/>
      </w:trPr>
      <w:tc>
        <w:tcPr>
          <w:tcW w:type="dxa" w:w="4600"/>
          <w:tcMar>
            <w:top w:w="0" w:type="dxa"/>
            <w:start w:w="0" w:type="dxa"/>
            <w:bottom w:w="20" w:type="dxa"/>
            <w:end w:w="0" w:type="dxa"/>
          </w:tcMar>
          <w:vAlign w:val="center"/>
        </w:tcPr>
        <w:p>
          <w:pPr>
            <w:spacing w:after="0"/>
          </w:pPr>
          <w:r>
            <w:drawing>
              <wp:inline xmlns:a="http://schemas.openxmlformats.org/drawingml/2006/main" xmlns:pic="http://schemas.openxmlformats.org/drawingml/2006/picture">
                <wp:extent cx="1494000" cy="346421"/>
                <wp:docPr id="1" name="Picture 1" descr="WohnFair.ch Logo" title="WohnFair"/>
                <wp:cNvGraphicFramePr>
                  <a:graphicFrameLocks noChangeAspect="1"/>
                </wp:cNvGraphicFramePr>
                <a:graphic>
                  <a:graphicData uri="http://schemas.openxmlformats.org/drawingml/2006/picture">
                    <pic:pic>
                      <pic:nvPicPr>
                        <pic:cNvPr id="0" name="wohnfair-logo-doc.png"/>
                        <pic:cNvPicPr/>
                      </pic:nvPicPr>
                      <pic:blipFill>
                        <a:blip r:embed="rId1"/>
                        <a:stretch>
                          <a:fillRect/>
                        </a:stretch>
                      </pic:blipFill>
                      <pic:spPr>
                        <a:xfrm>
                          <a:off x="0" y="0"/>
                          <a:ext cx="1494000" cy="346421"/>
                        </a:xfrm>
                        <a:prstGeom prst="rect"/>
                      </pic:spPr>
                    </pic:pic>
                  </a:graphicData>
                </a:graphic>
              </wp:inline>
            </w:drawing>
          </w:r>
        </w:p>
      </w:tc>
      <w:tc>
        <w:tcPr>
          <w:tcW w:type="dxa" w:w="5435"/>
          <w:tcMar>
            <w:top w:w="0" w:type="dxa"/>
            <w:start w:w="0" w:type="dxa"/>
            <w:bottom w:w="20" w:type="dxa"/>
            <w:end w:w="0" w:type="dxa"/>
          </w:tcMar>
          <w:vAlign w:val="center"/>
        </w:tcPr>
        <w:p>
          <w:pPr>
            <w:spacing w:after="0"/>
            <w:jc w:val="right"/>
          </w:pPr>
          <w:r>
            <w:rPr>
              <w:rFonts w:ascii="Arial" w:hAnsi="Arial"/>
              <w:b/>
              <w:color w:val="5E6B65"/>
              <w:sz w:val="14"/>
            </w:rPr>
            <w:t>Immobiliendokument von WohnFair.ch</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color w:val="1722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173D32"/>
      <w:sz w:val="2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173D32"/>
      <w:sz w:val="20"/>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rial" w:hAnsi="Arial"/>
      <w:b/>
      <w:bCs/>
      <w:color w:val="17221D"/>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ind w:left="312" w:hanging="142"/>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ind w:left="312" w:hanging="142"/>
      <w:contextualSpacing/>
    </w:pPr>
    <w:rPr>
      <w:rFonts w:ascii="Arial" w:hAnsi="Arial"/>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FTitle">
    <w:name w:val="WF Title"/>
    <w:pPr>
      <w:keepNext/>
      <w:spacing w:before="0" w:after="60"/>
    </w:pPr>
    <w:rPr>
      <w:rFonts w:ascii="Arial" w:hAnsi="Arial"/>
      <w:b/>
      <w:color w:val="173D32"/>
      <w:sz w:val="34"/>
    </w:rPr>
  </w:style>
  <w:style w:type="paragraph" w:customStyle="1" w:styleId="WFSubtitle">
    <w:name w:val="WF Subtitle"/>
    <w:pPr>
      <w:keepNext/>
      <w:spacing w:before="0" w:after="140"/>
    </w:pPr>
    <w:rPr>
      <w:rFonts w:ascii="Arial" w:hAnsi="Arial"/>
      <w:b w:val="0"/>
      <w:color w:val="5E6B6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Mietzinsanpassung wegen Referenzzinssatz</dc:title>
  <dc:subject>Schweizer Immobilienvorlage</dc:subject>
  <dc:creator>WohnFair</dc:creator>
  <cp:keywords>Schweiz, Immobilien, Vorlage, WohnFair</cp:keywords>
  <dc:description>generated by python-docx</dc:description>
  <cp:lastModifiedBy>WohnFair</cp:lastModifiedBy>
  <cp:revision>1</cp:revision>
  <dcterms:created xsi:type="dcterms:W3CDTF">2013-12-23T23:15:00Z</dcterms:created>
  <dcterms:modified xsi:type="dcterms:W3CDTF">2013-12-23T23:15:00Z</dcterms:modified>
  <cp:category/>
</cp:coreProperties>
</file>