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FTitle"/>
      </w:pPr>
      <w:r>
        <w:t>Schweizer Mietrecht kompakt</w:t>
      </w:r>
    </w:p>
    <w:p>
      <w:pPr>
        <w:pStyle w:val="WFSubtitle"/>
      </w:pPr>
      <w:r>
        <w:t>Wegweiser zu den wichtigsten Bestimmungen im OR und zur vollständigen VMWG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  <w:shd w:fill="F5F2EA"/>
          </w:tcPr>
          <w:p>
            <w:pPr>
              <w:spacing w:after="40"/>
            </w:pPr>
            <w:r>
              <w:rPr>
                <w:b/>
                <w:color w:val="173D32"/>
              </w:rPr>
              <w:t>So nutzt du diese Übersicht</w:t>
            </w:r>
          </w:p>
          <w:p>
            <w:pPr>
              <w:spacing w:after="0"/>
            </w:pPr>
            <w:r>
              <w:t>Diese Arbeitshilfe führt schnell zum passenden Gesetzesartikel. Der amtliche OR-Auszug (Art. 253–273c) und die vollständige VMWG stehen im WohnFair-Downloadbereich separat und unverändert bereit. Im Einzelfall sind Gesetz, Vertrag, kantonale Formulare und Fristen zu prüfen.</w:t>
            </w:r>
          </w:p>
        </w:tc>
      </w:tr>
    </w:tbl>
    <w:p>
      <w:pPr>
        <w:spacing w:after="0" w:line="96" w:lineRule="auto"/>
      </w:pPr>
    </w:p>
    <w:p>
      <w:pPr>
        <w:pStyle w:val="Heading1"/>
      </w:pPr>
      <w:r>
        <w:t>1. OR und VMWG – was regelt was?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1850"/>
        <w:gridCol w:w="5185"/>
      </w:tblGrid>
      <w:tr>
        <w:trPr>
          <w:cantSplit/>
          <w:tblHeader w:val="true"/>
        </w:trPr>
        <w:tc>
          <w:tcPr>
            <w:tcW w:type="dxa" w:w="30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Thema</w:t>
            </w:r>
          </w:p>
        </w:tc>
        <w:tc>
          <w:tcPr>
            <w:tcW w:type="dxa" w:w="18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OR</w:t>
            </w:r>
          </w:p>
        </w:tc>
        <w:tc>
          <w:tcPr>
            <w:tcW w:type="dxa" w:w="51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VMWG / praktische Bedeutung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Geltungsbereich und Vertragsabschluss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253–256b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1–3; Anwendungsbereich und Koppelungsgeschäfte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Mietzins und Nebenkosten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257–257c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4–8; Abrechnung, Energie- und verbrauchsabhängige Kosten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Zahlungsverzug und Kaution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257d–257e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Das OR enthält die zentralen Regeln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Sorgfalt, Rücksicht und Zutritt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257f–257h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Das OR enthält die zentralen Regeln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Mängel, Hinterlegung und Herabsetzung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258–259i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Verfahren und Zuständigkeit zusätzlich beachten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Erneuerungen und Änderungen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260–260a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14–16; wertvermehrende Investitionen und Modelle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Eigentümerwechsel, Untermiete, Ersatzmieter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261–265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Das OR enthält die zentralen Regeln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Kündigung und Rückgabe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266–267a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9; amtliche Kündigungsformulare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Missbräuchliche Mietzinse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269–270e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10–20; Vergleich, Kosten, Referenzzins, Formulare</w:t>
            </w:r>
          </w:p>
        </w:tc>
      </w:tr>
      <w:tr>
        <w:trPr>
          <w:cantSplit/>
        </w:trPr>
        <w:tc>
          <w:tcPr>
            <w:tcW w:type="dxa" w:w="30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Kündigungsschutz und Erstreckung</w:t>
            </w:r>
          </w:p>
        </w:tc>
        <w:tc>
          <w:tcPr>
            <w:tcW w:type="dxa" w:w="18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271–273c</w:t>
            </w:r>
          </w:p>
        </w:tc>
        <w:tc>
          <w:tcPr>
            <w:tcW w:type="dxa" w:w="51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21–23; Schlichtungsbehörde und Verfahren</w:t>
            </w:r>
          </w:p>
        </w:tc>
      </w:tr>
    </w:tbl>
    <w:p>
      <w:pPr>
        <w:spacing w:after="0"/>
      </w:pP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  <w:shd w:fill="EAF1EC"/>
          </w:tcPr>
          <w:p>
            <w:pPr>
              <w:spacing w:after="40"/>
            </w:pPr>
            <w:r>
              <w:rPr>
                <w:b/>
                <w:color w:val="173D32"/>
              </w:rPr>
              <w:t>Drei häufige 30-Tage-Fristen</w:t>
            </w:r>
          </w:p>
          <w:p>
            <w:pPr>
              <w:spacing w:after="0"/>
            </w:pPr>
            <w:r>
              <w:t>Mietzinserhöhung anfechten: 30 Tage nach Mitteilung. Kündigung anfechten oder Erstreckung verlangen: 30 Tage nach Empfang. Anfangsmietzins anfechten: unter den gesetzlichen Voraussetzungen 30 Tage nach Übernahme. Die konkrete Frist immer sofort prüfen.</w:t>
            </w:r>
          </w:p>
        </w:tc>
      </w:tr>
    </w:tbl>
    <w:p>
      <w:pPr>
        <w:spacing w:after="0" w:line="96" w:lineRule="auto"/>
      </w:pPr>
    </w:p>
    <w:p>
      <w:r>
        <w:br w:type="page"/>
      </w:r>
    </w:p>
    <w:p>
      <w:pPr>
        <w:pStyle w:val="Heading1"/>
      </w:pPr>
      <w:r>
        <w:t>2. Wichtige Fristen und Formerfordernisse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5600"/>
        <w:gridCol w:w="2235"/>
      </w:tblGrid>
      <w:tr>
        <w:trPr>
          <w:cantSplit/>
          <w:tblHeader w:val="true"/>
        </w:trPr>
        <w:tc>
          <w:tcPr>
            <w:tcW w:type="dxa" w:w="22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Situation</w:t>
            </w:r>
          </w:p>
        </w:tc>
        <w:tc>
          <w:tcPr>
            <w:tcW w:type="dxa" w:w="56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Frist / Form</w:t>
            </w:r>
          </w:p>
        </w:tc>
        <w:tc>
          <w:tcPr>
            <w:tcW w:type="dxa" w:w="223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Grundlage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Zahlungsverzug</w:t>
            </w:r>
          </w:p>
        </w:tc>
        <w:tc>
          <w:tcPr>
            <w:tcW w:type="dxa" w:w="56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Schriftliche Zahlungsfrist von mindestens 30 Tagen bei Wohn-/Geschäftsräumen, mit Kündigungsandrohung; danach Kündigung mit mindestens 30 Tagen auf Monatsende möglich.</w:t>
            </w:r>
          </w:p>
        </w:tc>
        <w:tc>
          <w:tcPr>
            <w:tcW w:type="dxa" w:w="2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257d OR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Mietsicherheit</w:t>
            </w:r>
          </w:p>
        </w:tc>
        <w:tc>
          <w:tcPr>
            <w:tcW w:type="dxa" w:w="56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Bei Wohnräumen höchstens drei Monatszinse; Geld/Sicherheiten auf ein Bankkonto oder Depot im Namen der Mieterschaft.</w:t>
            </w:r>
          </w:p>
        </w:tc>
        <w:tc>
          <w:tcPr>
            <w:tcW w:type="dxa" w:w="2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257e OR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Mietzinserhöhung</w:t>
            </w:r>
          </w:p>
        </w:tc>
        <w:tc>
          <w:tcPr>
            <w:tcW w:type="dxa" w:w="56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Kantonales Formular, Begründung und Mitteilung mindestens 10 Tage vor Beginn der Kündigungsfrist.</w:t>
            </w:r>
          </w:p>
        </w:tc>
        <w:tc>
          <w:tcPr>
            <w:tcW w:type="dxa" w:w="2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269d OR; Art. 19–20 VMWG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Erhöhung anfechten</w:t>
            </w:r>
          </w:p>
        </w:tc>
        <w:tc>
          <w:tcPr>
            <w:tcW w:type="dxa" w:w="56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Innert 30 Tagen nach Mitteilung bei der Schlichtungsbehörde.</w:t>
            </w:r>
          </w:p>
        </w:tc>
        <w:tc>
          <w:tcPr>
            <w:tcW w:type="dxa" w:w="2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270b OR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Anfangsmietzins anfechten</w:t>
            </w:r>
          </w:p>
        </w:tc>
        <w:tc>
          <w:tcPr>
            <w:tcW w:type="dxa" w:w="56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Unter den gesetzlichen Voraussetzungen innert 30 Tagen nach Übernahme der Sache.</w:t>
            </w:r>
          </w:p>
        </w:tc>
        <w:tc>
          <w:tcPr>
            <w:tcW w:type="dxa" w:w="2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270 OR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Kündigung anfechten / Erstreckung</w:t>
            </w:r>
          </w:p>
        </w:tc>
        <w:tc>
          <w:tcPr>
            <w:tcW w:type="dxa" w:w="56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Innert 30 Tagen nach Empfang der Kündigung; bei befristeter Miete spätestens 60 Tage vor Ablauf.</w:t>
            </w:r>
          </w:p>
        </w:tc>
        <w:tc>
          <w:tcPr>
            <w:tcW w:type="dxa" w:w="2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273 OR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Rückgabe</w:t>
            </w:r>
          </w:p>
        </w:tc>
        <w:tc>
          <w:tcPr>
            <w:tcW w:type="dxa" w:w="56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Zustand bei Rückgabe prüfen und Mängel, für welche die Mieterschaft einstehen soll, sofort melden.</w:t>
            </w:r>
          </w:p>
        </w:tc>
        <w:tc>
          <w:tcPr>
            <w:tcW w:type="dxa" w:w="2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267a OR</w:t>
            </w:r>
          </w:p>
        </w:tc>
      </w:tr>
    </w:tbl>
    <w:p>
      <w:pPr>
        <w:spacing w:after="0"/>
      </w:pP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  <w:shd w:fill="EAF1EC"/>
          </w:tcPr>
          <w:p>
            <w:pPr>
              <w:spacing w:after="40"/>
            </w:pPr>
            <w:r>
              <w:rPr>
                <w:b/>
                <w:color w:val="173D32"/>
              </w:rPr>
              <w:t>Fristen sorgfältig berechnen</w:t>
            </w:r>
          </w:p>
          <w:p>
            <w:pPr>
              <w:spacing w:after="0"/>
            </w:pPr>
            <w:r>
              <w:t>Entscheidend sind häufig Zugang, Empfang, Kündigungstermin und kantonale Besonderheiten. Bei Unsicherheit frühzeitig die zuständige Schlichtungsbehörde oder eine Fachperson kontaktieren.</w:t>
            </w:r>
          </w:p>
        </w:tc>
      </w:tr>
    </w:tbl>
    <w:p>
      <w:pPr>
        <w:spacing w:after="0" w:line="96" w:lineRule="auto"/>
      </w:pPr>
    </w:p>
    <w:p>
      <w:pPr>
        <w:pStyle w:val="Heading1"/>
      </w:pPr>
      <w:r>
        <w:t>3. Die wichtigsten Rechte und Pflichten</w:t>
      </w:r>
    </w:p>
    <w:p>
      <w:pPr>
        <w:pStyle w:val="Heading2"/>
      </w:pPr>
      <w:r>
        <w:t>Für Mieterinnen und Mieter</w:t>
      </w:r>
    </w:p>
    <w:p>
      <w:pPr>
        <w:pStyle w:val="ListBullet"/>
      </w:pPr>
      <w:r>
        <w:t>Mietzins und vereinbarte Nebenkosten rechtzeitig bezahlen; die Sache sorgfältig gebrauchen und auf Hausbewohner Rücksicht nehmen.</w:t>
      </w:r>
    </w:p>
    <w:p>
      <w:pPr>
        <w:pStyle w:val="ListBullet"/>
      </w:pPr>
      <w:r>
        <w:t>Mängel rasch und nachweisbar melden. Bei erheblichen Mängeln können – je nach Voraussetzungen – Beseitigung, Herabsetzung, Schadenersatz oder Hinterlegung des Mietzinses infrage kommen.</w:t>
      </w:r>
    </w:p>
    <w:p>
      <w:pPr>
        <w:pStyle w:val="ListBullet"/>
      </w:pPr>
      <w:r>
        <w:t>Untermiete ist grundsätzlich zulässig; die Vermieterschaft darf die Zustimmung nur aus den gesetzlich genannten Gründen verweigern.</w:t>
      </w:r>
    </w:p>
    <w:p>
      <w:pPr>
        <w:pStyle w:val="ListBullet"/>
      </w:pPr>
      <w:r>
        <w:t>Bei vorzeitiger Rückgabe kann die Mieterschaft mit einer zumutbaren, zahlungsfähigen Ersatzperson von weiteren Pflichten befreit werden.</w:t>
      </w:r>
    </w:p>
    <w:p>
      <w:pPr>
        <w:pStyle w:val="ListBullet"/>
      </w:pPr>
      <w:r>
        <w:t>Mietzinserhöhungen und Kündigungen sofort auf Formular, Begründung und Anfechtungsfrist prüfen.</w:t>
      </w:r>
    </w:p>
    <w:p>
      <w:pPr>
        <w:pStyle w:val="Heading2"/>
      </w:pPr>
      <w:r>
        <w:t>Für Vermieterinnen und Vermieter</w:t>
      </w:r>
    </w:p>
    <w:p>
      <w:pPr>
        <w:pStyle w:val="ListBullet"/>
      </w:pPr>
      <w:r>
        <w:t>Die Mietsache zum vereinbarten Zeitpunkt in einem zum vorausgesetzten Gebrauch tauglichen Zustand übergeben und erhalten.</w:t>
      </w:r>
    </w:p>
    <w:p>
      <w:pPr>
        <w:pStyle w:val="ListBullet"/>
      </w:pPr>
      <w:r>
        <w:t>Nebenkosten nur verlangen, wenn sie besonders vereinbart sind; Abrechnung und Belege nachvollziehbar bereitstellen.</w:t>
      </w:r>
    </w:p>
    <w:p>
      <w:pPr>
        <w:pStyle w:val="ListBullet"/>
      </w:pPr>
      <w:r>
        <w:t>Bei Kautionen die gesetzlichen Obergrenzen und die Hinterlegung auf den Namen der Mieterschaft einhalten.</w:t>
      </w:r>
    </w:p>
    <w:p>
      <w:pPr>
        <w:pStyle w:val="ListBullet"/>
      </w:pPr>
      <w:r>
        <w:t>Mietzinserhöhungen und Kündigungen form- und fristgerecht mit dem kantonal vorgeschriebenen Formular mitteilen.</w:t>
      </w:r>
    </w:p>
    <w:p>
      <w:pPr>
        <w:pStyle w:val="ListBullet"/>
      </w:pPr>
      <w:r>
        <w:t>Bei der Rückgabe den Zustand prüfen und geltend gemachte Schäden sofort und konkret anzeigen; normale Abnutzung von Schäden unterscheiden.</w:t>
      </w:r>
    </w:p>
    <w:p>
      <w:r>
        <w:br w:type="page"/>
      </w:r>
    </w:p>
    <w:p>
      <w:pPr>
        <w:pStyle w:val="Heading1"/>
      </w:pPr>
      <w:r>
        <w:t>4. Die VMWG auf einen Blick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835"/>
      </w:tblGrid>
      <w:tr>
        <w:trPr>
          <w:cantSplit/>
          <w:tblHeader w:val="true"/>
        </w:trPr>
        <w:tc>
          <w:tcPr>
            <w:tcW w:type="dxa" w:w="22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Artikel</w:t>
            </w:r>
          </w:p>
        </w:tc>
        <w:tc>
          <w:tcPr>
            <w:tcW w:type="dxa" w:w="783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Regelungsbereich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1–3</w:t>
            </w:r>
          </w:p>
        </w:tc>
        <w:tc>
          <w:tcPr>
            <w:tcW w:type="dxa" w:w="78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Geltungsbereich; Verhältnis zum OR; Koppelungsgeschäfte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4–8</w:t>
            </w:r>
          </w:p>
        </w:tc>
        <w:tc>
          <w:tcPr>
            <w:tcW w:type="dxa" w:w="78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Nebenkosten; Heiz- und Warmwasserkosten; verbrauchsabhängige Abrechnung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9</w:t>
            </w:r>
          </w:p>
        </w:tc>
        <w:tc>
          <w:tcPr>
            <w:tcW w:type="dxa" w:w="78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Kündigungsformulare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10–13</w:t>
            </w:r>
          </w:p>
        </w:tc>
        <w:tc>
          <w:tcPr>
            <w:tcW w:type="dxa" w:w="78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Orts-/Quartierüblichkeit, Kostensteigerungen und Referenzzinssatz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14–18</w:t>
            </w:r>
          </w:p>
        </w:tc>
        <w:tc>
          <w:tcPr>
            <w:tcW w:type="dxa" w:w="78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Wertvermehrende Investitionen, umfassende Überholungen und Mietzinsmodelle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19–20</w:t>
            </w:r>
          </w:p>
        </w:tc>
        <w:tc>
          <w:tcPr>
            <w:tcW w:type="dxa" w:w="78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Form und Begründung von Mietzinserhöhungen; gestaffelte Mietzinse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21–23</w:t>
            </w:r>
          </w:p>
        </w:tc>
        <w:tc>
          <w:tcPr>
            <w:tcW w:type="dxa" w:w="78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Schlichtungsbehörde und Verfahrensfragen</w:t>
            </w:r>
          </w:p>
        </w:tc>
      </w:tr>
      <w:tr>
        <w:trPr>
          <w:cantSplit/>
        </w:trPr>
        <w:tc>
          <w:tcPr>
            <w:tcW w:type="dxa" w:w="22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Art. 24–27</w:t>
            </w:r>
          </w:p>
        </w:tc>
        <w:tc>
          <w:tcPr>
            <w:tcW w:type="dxa" w:w="78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Vollzug sowie Übergangs- und Schlussbestimmungen</w:t>
            </w:r>
          </w:p>
        </w:tc>
      </w:tr>
    </w:tbl>
    <w:p>
      <w:pPr>
        <w:spacing w:after="0"/>
      </w:pPr>
    </w:p>
    <w:p>
      <w:pPr>
        <w:pStyle w:val="Heading1"/>
      </w:pPr>
      <w:r>
        <w:t>5. Welches Dokument brauche ich?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7235"/>
      </w:tblGrid>
      <w:tr>
        <w:trPr>
          <w:cantSplit/>
          <w:tblHeader w:val="true"/>
        </w:trPr>
        <w:tc>
          <w:tcPr>
            <w:tcW w:type="dxa" w:w="280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Vorhaben</w:t>
            </w:r>
          </w:p>
        </w:tc>
        <w:tc>
          <w:tcPr>
            <w:tcW w:type="dxa" w:w="723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Hilfreiche Unterlagen</w:t>
            </w:r>
          </w:p>
        </w:tc>
      </w:tr>
      <w:tr>
        <w:trPr>
          <w:cantSplit/>
        </w:trPr>
        <w:tc>
          <w:tcPr>
            <w:tcW w:type="dxa" w:w="28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Mietverhältnis starten</w:t>
            </w:r>
          </w:p>
        </w:tc>
        <w:tc>
          <w:tcPr>
            <w:tcW w:type="dxa" w:w="7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Mietvertrag, kantonales Anfangsmietzinsformular (falls vorgeschrieben), Übergabeprotokoll, Schlüsselliste, Kautionsnachweis</w:t>
            </w:r>
          </w:p>
        </w:tc>
      </w:tr>
      <w:tr>
        <w:trPr>
          <w:cantSplit/>
        </w:trPr>
        <w:tc>
          <w:tcPr>
            <w:tcW w:type="dxa" w:w="28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Mangel melden</w:t>
            </w:r>
          </w:p>
        </w:tc>
        <w:tc>
          <w:tcPr>
            <w:tcW w:type="dxa" w:w="7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Schriftliche Mängelanzeige, Fotos, Fristsetzung, Zustellnachweis, Belege</w:t>
            </w:r>
          </w:p>
        </w:tc>
      </w:tr>
      <w:tr>
        <w:trPr>
          <w:cantSplit/>
        </w:trPr>
        <w:tc>
          <w:tcPr>
            <w:tcW w:type="dxa" w:w="28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Mietzins ändern</w:t>
            </w:r>
          </w:p>
        </w:tc>
        <w:tc>
          <w:tcPr>
            <w:tcW w:type="dxa" w:w="7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Amtliches kantonales Formular, klare Begründung, Berechnungsgrundlagen</w:t>
            </w:r>
          </w:p>
        </w:tc>
      </w:tr>
      <w:tr>
        <w:trPr>
          <w:cantSplit/>
        </w:trPr>
        <w:tc>
          <w:tcPr>
            <w:tcW w:type="dxa" w:w="28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Mietverhältnis beenden</w:t>
            </w:r>
          </w:p>
        </w:tc>
        <w:tc>
          <w:tcPr>
            <w:tcW w:type="dxa" w:w="7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Kündigung, Zustellnachweis, Terminbestätigung, Reinigungscheckliste, Übergabeprotokoll</w:t>
            </w:r>
          </w:p>
        </w:tc>
      </w:tr>
      <w:tr>
        <w:trPr>
          <w:cantSplit/>
        </w:trPr>
        <w:tc>
          <w:tcPr>
            <w:tcW w:type="dxa" w:w="280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Anfechtung / Erstreckung</w:t>
            </w:r>
          </w:p>
        </w:tc>
        <w:tc>
          <w:tcPr>
            <w:tcW w:type="dxa" w:w="72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Kündigung oder Erhöhungsformular, Mietvertrag, Korrespondenz, Belege, fristgerechtes Schlichtungsgesuch</w:t>
            </w:r>
          </w:p>
        </w:tc>
      </w:tr>
    </w:tbl>
    <w:p>
      <w:pPr>
        <w:spacing w:after="0"/>
      </w:pPr>
    </w:p>
    <w:p>
      <w:pPr>
        <w:pStyle w:val="Heading1"/>
      </w:pPr>
      <w:r>
        <w:t>6. Bei Konflikten: in fünf Schritten</w:t>
      </w:r>
    </w:p>
    <w:p>
      <w:pPr>
        <w:pStyle w:val="ListBullet"/>
      </w:pPr>
      <w:r>
        <w:t>Sachverhalt, Datum, Vertrag, Fotos, Belege und Korrespondenz sichern.</w:t>
      </w:r>
    </w:p>
    <w:p>
      <w:pPr>
        <w:pStyle w:val="ListBullet"/>
      </w:pPr>
      <w:r>
        <w:t>Gegenpartei schriftlich und sachlich informieren; Forderung und angemessene Frist klar nennen.</w:t>
      </w:r>
    </w:p>
    <w:p>
      <w:pPr>
        <w:pStyle w:val="ListBullet"/>
      </w:pPr>
      <w:r>
        <w:t>Amtliches Formular sowie Empfangs- und Anfechtungsfrist sofort prüfen.</w:t>
      </w:r>
    </w:p>
    <w:p>
      <w:pPr>
        <w:pStyle w:val="ListBullet"/>
      </w:pPr>
      <w:r>
        <w:t>Zuständige kantonale Schlichtungsbehörde bestimmen und Eingabe rechtzeitig einreichen.</w:t>
      </w:r>
    </w:p>
    <w:p>
      <w:pPr>
        <w:pStyle w:val="ListBullet"/>
      </w:pPr>
      <w:r>
        <w:t>Bei hoher finanzieller Tragweite oder komplexer Rechtslage fachlichen Rat einholen.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shd w:fill="F3F6F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20"/>
            </w:pPr>
            <w:r>
              <w:rPr>
                <w:sz w:val="16"/>
              </w:rPr>
            </w:r>
            <w:r>
              <w:rPr>
                <w:b/>
                <w:color w:val="173D32"/>
                <w:sz w:val="16"/>
              </w:rPr>
              <w:t xml:space="preserve">Hinweis: </w:t>
            </w:r>
            <w:r>
              <w:rPr>
                <w:sz w:val="16"/>
              </w:rPr>
              <w:t>Allgemeine Schweizer Vorlage, keine Rechtsberatung. Zwingendes Recht, kantonale Vorschriften, amtliche Formulare und die konkrete Vertragslage gehen vor; bei Streit oder besonderen Verhältnissen ist eine fachliche Prüfung empfohlen.</w:t>
            </w:r>
          </w:p>
          <w:p>
            <w:pPr>
              <w:spacing w:after="20"/>
            </w:pPr>
            <w:r>
              <w:rPr>
                <w:b/>
                <w:sz w:val="16"/>
              </w:rPr>
              <w:t xml:space="preserve">Berücksichtigte Grundlagen: </w:t>
            </w:r>
            <w:r>
              <w:rPr>
                <w:sz w:val="16"/>
              </w:rPr>
              <w:t>Amtliche Grundlagen: Schweizerisches Obligationenrecht (OR), Art. 253–273c, Stand 1. Januar 2026; Verordnung über die Miete und Pacht von Wohn- und Geschäftsräumen (VMWG), Stand 1. Oktober 2025. Quelle: Fedlex. Diese Übersicht ist eine allgemeine Orientierung und keine Rechtsberatung.</w:t>
            </w:r>
          </w:p>
          <w:p>
            <w:pPr>
              <w:spacing w:after="0"/>
            </w:pPr>
            <w:r>
              <w:rPr>
                <w:b/>
                <w:sz w:val="16"/>
              </w:rPr>
              <w:t xml:space="preserve">Offizielle Quellen: </w:t>
            </w:r>
            <w:r>
              <w:rPr>
                <w:sz w:val="16"/>
              </w:rPr>
              <w:t>fedlex.admin.ch (OR SR 220; VMWG SR 221.213.11). Rechtsstand: August 2026.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62" w:right="935" w:bottom="765" w:left="935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rFonts w:ascii="Arial" w:hAnsi="Arial"/>
        <w:color w:val="5E6B65"/>
        <w:sz w:val="14"/>
      </w:rPr>
      <w:t xml:space="preserve">WohnFair.ch  |  Stand: August 2026  |  Seite </w:t>
    </w:r>
    <w: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dxa" w:w="10035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600"/>
      <w:gridCol w:w="5435"/>
    </w:tblGrid>
    <w:tr>
      <w:trPr>
        <w:cantSplit/>
      </w:trPr>
      <w:tc>
        <w:tcPr>
          <w:tcW w:type="dxa" w:w="4600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494000" cy="346421"/>
                <wp:docPr id="1" name="Picture 1" descr="WohnFair.ch Logo" title="WohnFair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ohnfair-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34642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35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5E6B65"/>
              <w:sz w:val="14"/>
            </w:rPr>
            <w:t>Immobiliendokument von WohnFair.ch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1722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D3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73D32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17221D"/>
      <w:sz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FTitle">
    <w:name w:val="WF Title"/>
    <w:pPr>
      <w:keepNext/>
      <w:spacing w:before="0" w:after="60"/>
    </w:pPr>
    <w:rPr>
      <w:rFonts w:ascii="Arial" w:hAnsi="Arial"/>
      <w:b/>
      <w:color w:val="173D32"/>
      <w:sz w:val="34"/>
    </w:rPr>
  </w:style>
  <w:style w:type="paragraph" w:customStyle="1" w:styleId="WFSubtitle">
    <w:name w:val="WF Subtitle"/>
    <w:pPr>
      <w:keepNext/>
      <w:spacing w:before="0" w:after="140"/>
    </w:pPr>
    <w:rPr>
      <w:rFonts w:ascii="Arial" w:hAnsi="Arial"/>
      <w:b w:val="0"/>
      <w:color w:val="5E6B6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Schweizer Mietrecht kompakt</dc:title>
  <dc:subject>Schweizer Immobilienvorlage</dc:subject>
  <dc:creator>WohnFair</dc:creator>
  <cp:keywords>Schweiz, Immobilien, Vorlage, WohnFair</cp:keywords>
  <dc:description>generated by python-docx</dc:description>
  <cp:lastModifiedBy>WohnFair</cp:lastModifiedBy>
  <cp:revision>1</cp:revision>
  <dcterms:created xsi:type="dcterms:W3CDTF">2013-12-23T23:15:00Z</dcterms:created>
  <dcterms:modified xsi:type="dcterms:W3CDTF">2013-12-23T23:15:00Z</dcterms:modified>
  <cp:category/>
</cp:coreProperties>
</file>