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FTitle"/>
      </w:pPr>
      <w:r>
        <w:t>Kaufvertragsentwurf für eine Immobilie</w:t>
      </w:r>
    </w:p>
    <w:p>
      <w:pPr>
        <w:pStyle w:val="WFSubtitle"/>
      </w:pPr>
      <w:r>
        <w:t>Ausführliche Datengrundlage für Notariat und öffentliche Beurkundung - kein privatschriftlicher Kaufvertrag</w:t>
      </w:r>
    </w:p>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tcMar>
              <w:top w:w="105" w:type="dxa"/>
              <w:start w:w="120" w:type="dxa"/>
              <w:bottom w:w="105" w:type="dxa"/>
              <w:end w:w="120" w:type="dxa"/>
            </w:tcMar>
            <w:vAlign w:val="center"/>
            <w:shd w:fill="FBE9E7"/>
          </w:tcPr>
          <w:p>
            <w:pPr>
              <w:spacing w:after="40"/>
            </w:pPr>
            <w:r>
              <w:rPr>
                <w:b/>
                <w:color w:val="173D32"/>
              </w:rPr>
              <w:t>Öffentliche Beurkundung zwingend</w:t>
            </w:r>
          </w:p>
          <w:p>
            <w:pPr>
              <w:spacing w:after="0"/>
            </w:pPr>
            <w:r>
              <w:t>Ein Vertrag über den Kauf eines Grundstücks, Hauses oder Stockwerkeigentums ist nur in der gesetzlich vorgeschriebenen Form gültig (OR Art. 216). Dieser Entwurf sammelt die Vereinbarungen für die zuständige Urkundsperson. Eigentum geht grundsätzlich erst mit der Eintragung im Grundbuch über.</w:t>
            </w:r>
          </w:p>
        </w:tc>
      </w:tr>
    </w:tbl>
    <w:p>
      <w:pPr>
        <w:spacing w:after="0" w:line="96" w:lineRule="auto"/>
      </w:pPr>
    </w:p>
    <w:p>
      <w:pPr>
        <w:pStyle w:val="Heading1"/>
      </w:pPr>
      <w:r>
        <w:t>1. Parteien</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Verkäuferschaft</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Name / Geburtsdatum bzw. Firma / Sitz:</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Adresse / Zivilstand</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Käuferschaft</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Name / Geburtsdatum bzw. Firma / Sitz:</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Adresse / Zivilstand</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Vertretung</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 keine  ☐ Vollmacht / Beistandschaft / Organ:</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Kontakt / Beratung</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Telefon / E-Mail / Bank / Rechtsberatung:</w:t>
            </w:r>
          </w:p>
          <w:p>
            <w:pPr>
              <w:spacing w:before="100" w:after="40" w:line="216" w:lineRule="auto"/>
              <w:pBdr>
                <w:bottom w:val="single" w:sz="5" w:space="2" w:color="CCD5CF"/>
              </w:pBdr>
            </w:pPr>
            <w:r>
              <w:t xml:space="preserve"> </w:t>
            </w:r>
          </w:p>
        </w:tc>
      </w:tr>
    </w:tbl>
    <w:p>
      <w:pPr>
        <w:spacing w:after="0"/>
      </w:pPr>
    </w:p>
    <w:p>
      <w:pPr>
        <w:pStyle w:val="Heading1"/>
      </w:pPr>
      <w:r>
        <w:t>2. Kaufobjekt und Grundbuch</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Gemeinde / Grundbuch</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Grundstück / E-GRID</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Nr.:  E-GRID:</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Eigentumsform</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 Alleineigentum  ☐ Miteigentum  /  ☐ Stockwerkeigentum Wertquote</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Adresse / Fläche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Zugehör / Nebenobjekte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Parkplatz / Keller / Miteigentumsanteile:</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Dienstbarkeiten / Lasten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Gemäss aktuellem Grundbuchauszug; besondere Punkte:</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Anmerkungen / Vormerkungen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Vorkaufsrechte, Kaufsrechte, Mietverträge, Verfügungsbeschränkungen:</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ÖREB / Altlasten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Katasterauszüge geprüft am:  Ergebnis:</w:t>
            </w:r>
          </w:p>
          <w:p>
            <w:pPr>
              <w:spacing w:before="100" w:after="40" w:line="216" w:lineRule="auto"/>
              <w:pBdr>
                <w:bottom w:val="single" w:sz="5" w:space="2" w:color="CCD5CF"/>
              </w:pBdr>
            </w:pPr>
            <w:r>
              <w:t xml:space="preserve"> </w:t>
            </w:r>
          </w:p>
        </w:tc>
      </w:tr>
    </w:tbl>
    <w:p>
      <w:pPr>
        <w:spacing w:after="0"/>
      </w:pPr>
    </w:p>
    <w:p>
      <w:pPr>
        <w:pStyle w:val="Heading1"/>
      </w:pPr>
      <w:r>
        <w:t>3. Kaufpreis und Finanzierung</w:t>
      </w:r>
    </w:p>
    <w:tbl>
      <w:tblPr>
        <w:tblStyle w:val="TableGrid"/>
        <w:tblW w:type="dxa" w:w="10035"/>
        <w:jc w:val="left"/>
        <w:tblLayout w:type="fixed"/>
        <w:tblLook w:firstColumn="1" w:firstRow="1" w:lastColumn="0" w:lastRow="0" w:noHBand="0" w:noVBand="1" w:val="04A0"/>
        <w:tblInd w:w="120" w:type="dxa"/>
      </w:tblPr>
      <w:tblGrid>
        <w:gridCol w:w="3479"/>
        <w:gridCol w:w="2635"/>
        <w:gridCol w:w="3921"/>
      </w:tblGrid>
      <w:tr>
        <w:trPr>
          <w:cantSplit/>
          <w:tblHeader w:val="true"/>
        </w:trPr>
        <w:tc>
          <w:tcPr>
            <w:tcW w:type="dxa" w:w="3479"/>
            <w:shd w:fill="173D32"/>
            <w:tcMar>
              <w:top w:w="105" w:type="dxa"/>
              <w:start w:w="120" w:type="dxa"/>
              <w:bottom w:w="105" w:type="dxa"/>
              <w:end w:w="120" w:type="dxa"/>
            </w:tcMar>
            <w:vAlign w:val="center"/>
          </w:tcPr>
          <w:p>
            <w:r>
              <w:rPr>
                <w:b/>
                <w:color w:val="FFFFFF"/>
                <w:sz w:val="17"/>
              </w:rPr>
              <w:t>Bestandteil</w:t>
            </w:r>
          </w:p>
        </w:tc>
        <w:tc>
          <w:tcPr>
            <w:tcW w:type="dxa" w:w="2635"/>
            <w:shd w:fill="173D32"/>
            <w:tcMar>
              <w:top w:w="105" w:type="dxa"/>
              <w:start w:w="120" w:type="dxa"/>
              <w:bottom w:w="105" w:type="dxa"/>
              <w:end w:w="120" w:type="dxa"/>
            </w:tcMar>
            <w:vAlign w:val="center"/>
          </w:tcPr>
          <w:p>
            <w:r>
              <w:rPr>
                <w:b/>
                <w:color w:val="FFFFFF"/>
                <w:sz w:val="17"/>
              </w:rPr>
              <w:t>Betrag / Termin</w:t>
            </w:r>
          </w:p>
        </w:tc>
        <w:tc>
          <w:tcPr>
            <w:tcW w:type="dxa" w:w="3921"/>
            <w:shd w:fill="173D32"/>
            <w:tcMar>
              <w:top w:w="105" w:type="dxa"/>
              <w:start w:w="120" w:type="dxa"/>
              <w:bottom w:w="105" w:type="dxa"/>
              <w:end w:w="120" w:type="dxa"/>
            </w:tcMar>
            <w:vAlign w:val="center"/>
          </w:tcPr>
          <w:p>
            <w:r>
              <w:rPr>
                <w:b/>
                <w:color w:val="FFFFFF"/>
                <w:sz w:val="17"/>
              </w:rPr>
              <w:t>Zahlungsweg / Nachweis</w:t>
            </w:r>
          </w:p>
        </w:tc>
      </w:tr>
      <w:tr>
        <w:trPr>
          <w:cantSplit/>
        </w:trPr>
        <w:tc>
          <w:tcPr>
            <w:tcW w:type="dxa" w:w="3479"/>
            <w:tcMar>
              <w:top w:w="105" w:type="dxa"/>
              <w:start w:w="120" w:type="dxa"/>
              <w:bottom w:w="105" w:type="dxa"/>
              <w:end w:w="120" w:type="dxa"/>
            </w:tcMar>
            <w:vAlign w:val="center"/>
          </w:tcPr>
          <w:p>
            <w:r/>
            <w:r>
              <w:t>Gesamtkaufpreis</w:t>
            </w:r>
          </w:p>
        </w:tc>
        <w:tc>
          <w:tcPr>
            <w:tcW w:type="dxa" w:w="2635"/>
            <w:tcMar>
              <w:top w:w="105" w:type="dxa"/>
              <w:start w:w="120" w:type="dxa"/>
              <w:bottom w:w="105" w:type="dxa"/>
              <w:end w:w="120" w:type="dxa"/>
            </w:tcMar>
            <w:vAlign w:val="center"/>
          </w:tcPr>
          <w:p>
            <w:r/>
            <w:r>
              <w:t>CHF</w:t>
            </w:r>
          </w:p>
          <w:p>
            <w:pPr>
              <w:spacing w:before="80" w:after="20" w:line="173" w:lineRule="auto"/>
              <w:pBdr>
                <w:bottom w:val="single" w:sz="4" w:space="2" w:color="CCD5CF"/>
              </w:pBdr>
            </w:pPr>
            <w:r>
              <w:t xml:space="preserve"> </w:t>
            </w:r>
          </w:p>
        </w:tc>
        <w:tc>
          <w:tcPr>
            <w:tcW w:type="dxa" w:w="3921"/>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479"/>
            <w:tcMar>
              <w:top w:w="105" w:type="dxa"/>
              <w:start w:w="120" w:type="dxa"/>
              <w:bottom w:w="105" w:type="dxa"/>
              <w:end w:w="120" w:type="dxa"/>
            </w:tcMar>
            <w:vAlign w:val="center"/>
          </w:tcPr>
          <w:p>
            <w:r/>
            <w:r>
              <w:t>Anzahlung / Reservationsbetrag</w:t>
            </w:r>
          </w:p>
        </w:tc>
        <w:tc>
          <w:tcPr>
            <w:tcW w:type="dxa" w:w="2635"/>
            <w:tcMar>
              <w:top w:w="105" w:type="dxa"/>
              <w:start w:w="120" w:type="dxa"/>
              <w:bottom w:w="105" w:type="dxa"/>
              <w:end w:w="120" w:type="dxa"/>
            </w:tcMar>
            <w:vAlign w:val="center"/>
          </w:tcPr>
          <w:p>
            <w:r/>
            <w:r>
              <w:t>CHF</w:t>
            </w:r>
          </w:p>
          <w:p>
            <w:pPr>
              <w:spacing w:before="80" w:after="20" w:line="173" w:lineRule="auto"/>
              <w:pBdr>
                <w:bottom w:val="single" w:sz="4" w:space="2" w:color="CCD5CF"/>
              </w:pBdr>
            </w:pPr>
            <w:r>
              <w:t xml:space="preserve"> </w:t>
            </w:r>
          </w:p>
        </w:tc>
        <w:tc>
          <w:tcPr>
            <w:tcW w:type="dxa" w:w="3921"/>
            <w:tcMar>
              <w:top w:w="105" w:type="dxa"/>
              <w:start w:w="120" w:type="dxa"/>
              <w:bottom w:w="105" w:type="dxa"/>
              <w:end w:w="120" w:type="dxa"/>
            </w:tcMar>
            <w:vAlign w:val="center"/>
          </w:tcPr>
          <w:p>
            <w:r/>
            <w:r>
              <w:t>Treuhand / Bedingungen klären</w:t>
            </w:r>
          </w:p>
        </w:tc>
      </w:tr>
      <w:tr>
        <w:trPr>
          <w:cantSplit/>
        </w:trPr>
        <w:tc>
          <w:tcPr>
            <w:tcW w:type="dxa" w:w="3479"/>
            <w:tcMar>
              <w:top w:w="105" w:type="dxa"/>
              <w:start w:w="120" w:type="dxa"/>
              <w:bottom w:w="105" w:type="dxa"/>
              <w:end w:w="120" w:type="dxa"/>
            </w:tcMar>
            <w:vAlign w:val="center"/>
          </w:tcPr>
          <w:p>
            <w:r/>
            <w:r>
              <w:t>Restkaufpreis</w:t>
            </w:r>
          </w:p>
        </w:tc>
        <w:tc>
          <w:tcPr>
            <w:tcW w:type="dxa" w:w="2635"/>
            <w:tcMar>
              <w:top w:w="105" w:type="dxa"/>
              <w:start w:w="120" w:type="dxa"/>
              <w:bottom w:w="105" w:type="dxa"/>
              <w:end w:w="120" w:type="dxa"/>
            </w:tcMar>
            <w:vAlign w:val="center"/>
          </w:tcPr>
          <w:p>
            <w:r/>
            <w:r>
              <w:t>CHF</w:t>
            </w:r>
          </w:p>
          <w:p>
            <w:pPr>
              <w:spacing w:before="80" w:after="20" w:line="173" w:lineRule="auto"/>
              <w:pBdr>
                <w:bottom w:val="single" w:sz="4" w:space="2" w:color="CCD5CF"/>
              </w:pBdr>
            </w:pPr>
            <w:r>
              <w:t xml:space="preserve"> </w:t>
            </w:r>
          </w:p>
        </w:tc>
        <w:tc>
          <w:tcPr>
            <w:tcW w:type="dxa" w:w="3921"/>
            <w:tcMar>
              <w:top w:w="105" w:type="dxa"/>
              <w:start w:w="120" w:type="dxa"/>
              <w:bottom w:w="105" w:type="dxa"/>
              <w:end w:w="120" w:type="dxa"/>
            </w:tcMar>
            <w:vAlign w:val="center"/>
          </w:tcPr>
          <w:p>
            <w:r/>
            <w:r>
              <w:t>Valuta:</w:t>
            </w:r>
          </w:p>
          <w:p>
            <w:pPr>
              <w:spacing w:before="80" w:after="20" w:line="173" w:lineRule="auto"/>
              <w:pBdr>
                <w:bottom w:val="single" w:sz="4" w:space="2" w:color="CCD5CF"/>
              </w:pBdr>
            </w:pPr>
            <w:r>
              <w:t xml:space="preserve"> </w:t>
            </w:r>
          </w:p>
        </w:tc>
      </w:tr>
      <w:tr>
        <w:trPr>
          <w:cantSplit/>
        </w:trPr>
        <w:tc>
          <w:tcPr>
            <w:tcW w:type="dxa" w:w="3479"/>
            <w:tcMar>
              <w:top w:w="105" w:type="dxa"/>
              <w:start w:w="120" w:type="dxa"/>
              <w:bottom w:w="105" w:type="dxa"/>
              <w:end w:w="120" w:type="dxa"/>
            </w:tcMar>
            <w:vAlign w:val="center"/>
          </w:tcPr>
          <w:p>
            <w:r/>
            <w:r>
              <w:t>Übernahme Schuldbrief / Hypothek</w:t>
            </w:r>
          </w:p>
        </w:tc>
        <w:tc>
          <w:tcPr>
            <w:tcW w:type="dxa" w:w="2635"/>
            <w:tcMar>
              <w:top w:w="105" w:type="dxa"/>
              <w:start w:w="120" w:type="dxa"/>
              <w:bottom w:w="105" w:type="dxa"/>
              <w:end w:w="120" w:type="dxa"/>
            </w:tcMar>
            <w:vAlign w:val="center"/>
          </w:tcPr>
          <w:p>
            <w:r/>
            <w:r>
              <w:t>CHF</w:t>
            </w:r>
          </w:p>
          <w:p>
            <w:pPr>
              <w:spacing w:before="80" w:after="20" w:line="173" w:lineRule="auto"/>
              <w:pBdr>
                <w:bottom w:val="single" w:sz="4" w:space="2" w:color="CCD5CF"/>
              </w:pBdr>
            </w:pPr>
            <w:r>
              <w:t xml:space="preserve"> </w:t>
            </w:r>
          </w:p>
        </w:tc>
        <w:tc>
          <w:tcPr>
            <w:tcW w:type="dxa" w:w="3921"/>
            <w:tcMar>
              <w:top w:w="105" w:type="dxa"/>
              <w:start w:w="120" w:type="dxa"/>
              <w:bottom w:w="105" w:type="dxa"/>
              <w:end w:w="120" w:type="dxa"/>
            </w:tcMar>
            <w:vAlign w:val="center"/>
          </w:tcPr>
          <w:p>
            <w:r/>
            <w:r>
              <w:t>Zustimmung Institut</w:t>
            </w:r>
          </w:p>
        </w:tc>
      </w:tr>
      <w:tr>
        <w:trPr>
          <w:cantSplit/>
        </w:trPr>
        <w:tc>
          <w:tcPr>
            <w:tcW w:type="dxa" w:w="3479"/>
            <w:tcMar>
              <w:top w:w="105" w:type="dxa"/>
              <w:start w:w="120" w:type="dxa"/>
              <w:bottom w:w="105" w:type="dxa"/>
              <w:end w:w="120" w:type="dxa"/>
            </w:tcMar>
            <w:vAlign w:val="center"/>
          </w:tcPr>
          <w:p>
            <w:r/>
            <w:r>
              <w:t>Sicherstellung</w:t>
            </w:r>
          </w:p>
        </w:tc>
        <w:tc>
          <w:tcPr>
            <w:tcW w:type="dxa" w:w="26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3921"/>
            <w:tcMar>
              <w:top w:w="105" w:type="dxa"/>
              <w:start w:w="120" w:type="dxa"/>
              <w:bottom w:w="105" w:type="dxa"/>
              <w:end w:w="120" w:type="dxa"/>
            </w:tcMar>
            <w:vAlign w:val="center"/>
          </w:tcPr>
          <w:p>
            <w:r/>
            <w:r>
              <w:t>Zahlungsversprechen / Sperrkonto</w:t>
            </w:r>
          </w:p>
        </w:tc>
      </w:tr>
      <w:tr>
        <w:trPr>
          <w:cantSplit/>
        </w:trPr>
        <w:tc>
          <w:tcPr>
            <w:tcW w:type="dxa" w:w="3479"/>
            <w:tcMar>
              <w:top w:w="105" w:type="dxa"/>
              <w:start w:w="120" w:type="dxa"/>
              <w:bottom w:w="105" w:type="dxa"/>
              <w:end w:w="120" w:type="dxa"/>
            </w:tcMar>
            <w:vAlign w:val="center"/>
          </w:tcPr>
          <w:p>
            <w:r/>
            <w:r>
              <w:t>Kaufpreisaufteilung</w:t>
            </w:r>
          </w:p>
        </w:tc>
        <w:tc>
          <w:tcPr>
            <w:tcW w:type="dxa" w:w="2635"/>
            <w:tcMar>
              <w:top w:w="105" w:type="dxa"/>
              <w:start w:w="120" w:type="dxa"/>
              <w:bottom w:w="105" w:type="dxa"/>
              <w:end w:w="120" w:type="dxa"/>
            </w:tcMar>
            <w:vAlign w:val="center"/>
          </w:tcPr>
          <w:p>
            <w:r/>
            <w:r>
              <w:t>CHF</w:t>
            </w:r>
          </w:p>
          <w:p>
            <w:pPr>
              <w:spacing w:before="80" w:after="20" w:line="173" w:lineRule="auto"/>
              <w:pBdr>
                <w:bottom w:val="single" w:sz="4" w:space="2" w:color="CCD5CF"/>
              </w:pBdr>
            </w:pPr>
            <w:r>
              <w:t xml:space="preserve"> </w:t>
            </w:r>
          </w:p>
        </w:tc>
        <w:tc>
          <w:tcPr>
            <w:tcW w:type="dxa" w:w="3921"/>
            <w:tcMar>
              <w:top w:w="105" w:type="dxa"/>
              <w:start w:w="120" w:type="dxa"/>
              <w:bottom w:w="105" w:type="dxa"/>
              <w:end w:w="120" w:type="dxa"/>
            </w:tcMar>
            <w:vAlign w:val="center"/>
          </w:tcPr>
          <w:p>
            <w:r/>
            <w:r>
              <w:t>Land / Gebäude / Inventar</w:t>
            </w:r>
          </w:p>
        </w:tc>
      </w:tr>
    </w:tbl>
    <w:p>
      <w:pPr>
        <w:spacing w:after="0"/>
      </w:pPr>
    </w:p>
    <w:p>
      <w:pPr>
        <w:pStyle w:val="Heading1"/>
      </w:pPr>
      <w:r>
        <w:t>4. Eigentumsübertragung, Besitz und Nutzen</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Beurkundung</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Vorgesehene Urkundsperson / Kanton:</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Grundbucheintrag</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Vorgesehener Termin / Bedingungen:</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Besitzesantritt</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Datum / Uhrzeit und Übergang von Nutzen und Gefahr:</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Übergabe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 geräumt  ☐ mit Inventar  ☐ vermietet; separates Protokoll / Mieterliste</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Schlüssel / Zähler</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Separates Übergabeprotokoll am:</w:t>
            </w:r>
          </w:p>
          <w:p>
            <w:pPr>
              <w:spacing w:before="100" w:after="40" w:line="216" w:lineRule="auto"/>
              <w:pBdr>
                <w:bottom w:val="single" w:sz="5" w:space="2" w:color="CCD5CF"/>
              </w:pBdr>
            </w:pPr>
            <w:r>
              <w:t xml:space="preserve"> </w:t>
            </w:r>
          </w:p>
        </w:tc>
      </w:tr>
    </w:tbl>
    <w:p>
      <w:pPr>
        <w:spacing w:after="0"/>
      </w:pPr>
    </w:p>
    <w:p>
      <w:pPr>
        <w:pStyle w:val="Heading1"/>
      </w:pPr>
      <w:r>
        <w:t>5. Zustand, Gewährleistung und Informationen</w:t>
      </w:r>
    </w:p>
    <w:p>
      <w:pPr>
        <w:pStyle w:val="ListBullet"/>
      </w:pPr>
      <w:r>
        <w:t>Der aktuelle Zustand, bekannte Mängel, Altlasten- oder Schadstoffhinweise und hängige Versicherungsfälle werden vollständig offengelegt.</w:t>
      </w:r>
    </w:p>
    <w:p>
      <w:pPr>
        <w:pStyle w:val="ListBullet"/>
      </w:pPr>
      <w:r>
        <w:t>Ein Gewährleistungsausschluss ist von der Urkundsperson rechtlich zu formulieren; absichtlich verschwiegene Mängel bleiben vorbehalten.</w:t>
      </w:r>
    </w:p>
    <w:p>
      <w:pPr>
        <w:pStyle w:val="ListBullet"/>
      </w:pPr>
      <w:r>
        <w:t>Bei Neubau, Umbau oder werkvertraglichen Elementen sind Abnahme, Garantien, Mängelrechte und Unterlagen gesondert zu regeln.</w:t>
      </w:r>
    </w:p>
    <w:p>
      <w:pPr>
        <w:pStyle w:val="ListBullet"/>
      </w:pPr>
      <w:r>
        <w:t>Bei vermieteten Objekten sind Mietverhältnisse, Depots, Nebenkosten, offene Verfahren und Übergang der Vermieterstellung zu dokumentieren.</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Bekannte Mängel</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p>
          <w:p>
            <w:pPr>
              <w:spacing w:before="100" w:after="40" w:line="216" w:lineRule="auto"/>
              <w:pBdr>
                <w:bottom w:val="single" w:sz="5" w:space="2" w:color="CCD5CF"/>
              </w:pBdr>
            </w:pPr>
            <w:r>
              <w:t xml:space="preserve"> </w:t>
            </w:r>
          </w:p>
          <w:p>
            <w:pPr>
              <w:spacing w:before="6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Renovationen / Bewilligungen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Versicherungsschäden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Mietverhältnisse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 keine  ☐ gemäss Mieterliste / Verträgen vom</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Umwelt / Schadstoffe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Altlasten, Asbest, Radon, belastete Baustoffe oder weitere Hinweise:</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Energie / Haustechnik</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GEAK, Heizung, PV, Ladestation, Wartung und Erneuerungsbedarf:</w:t>
            </w:r>
          </w:p>
          <w:p>
            <w:pPr>
              <w:spacing w:before="100" w:after="40" w:line="216" w:lineRule="auto"/>
              <w:pBdr>
                <w:bottom w:val="single" w:sz="5" w:space="2" w:color="CCD5CF"/>
              </w:pBdr>
            </w:pPr>
            <w:r>
              <w:t xml:space="preserve"> </w:t>
            </w:r>
          </w:p>
        </w:tc>
      </w:tr>
    </w:tbl>
    <w:p>
      <w:pPr>
        <w:spacing w:after="0"/>
      </w:pPr>
    </w:p>
    <w:p>
      <w:pPr>
        <w:pStyle w:val="Heading1"/>
      </w:pPr>
      <w:r>
        <w:t>6. Kosten, Steuern und Abrechnungen</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Beurkundung / Grundbuch</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Tragung / Quote nach kantonalem Recht bzw. Vereinbarung:</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Handänderungssteuer / Gebühr</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Grundstückgewinnsteuer</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Sicherstellung / Abwicklung durch Urkundsperson:</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Liegenschaftskosten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Abgrenzungsstichtag für Steuern, Versicherungen, Nebenkosten:</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Makler / weitere Kosten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Vergütung, Auftrag und zahlungspflichtige Partei:</w:t>
            </w:r>
          </w:p>
          <w:p>
            <w:pPr>
              <w:spacing w:before="100" w:after="40" w:line="216" w:lineRule="auto"/>
              <w:pBdr>
                <w:bottom w:val="single" w:sz="5" w:space="2" w:color="CCD5CF"/>
              </w:pBdr>
            </w:pPr>
            <w:r>
              <w:t xml:space="preserve"> </w:t>
            </w:r>
          </w:p>
        </w:tc>
      </w:tr>
    </w:tbl>
    <w:p>
      <w:pPr>
        <w:spacing w:after="0"/>
      </w:pPr>
    </w:p>
    <w:p>
      <w:pPr>
        <w:pStyle w:val="Heading1"/>
      </w:pPr>
      <w:r>
        <w:t>7. Stockwerkeigentum oder gemeinschaftliche Anlagen</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Grundlagen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 nicht zutreffend  ☐ Begründungsakt  ☐ Reglement  ☐ Sondernutzungsrechte</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Finanzen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Stand Erneuerungsfonds, offene Beiträge und Sonderumlagen:</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Beschlüsse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Geplante Sanierungen, Protokolle und hängige Verfahren:</w:t>
            </w:r>
          </w:p>
          <w:p>
            <w:pPr>
              <w:spacing w:before="100" w:after="40" w:line="216" w:lineRule="auto"/>
              <w:pBdr>
                <w:bottom w:val="single" w:sz="5" w:space="2" w:color="CCD5CF"/>
              </w:pBdr>
            </w:pPr>
            <w:r>
              <w:t xml:space="preserve"> </w:t>
            </w:r>
          </w:p>
        </w:tc>
      </w:tr>
    </w:tbl>
    <w:p>
      <w:pPr>
        <w:spacing w:after="0"/>
      </w:pPr>
    </w:p>
    <w:p>
      <w:pPr>
        <w:pStyle w:val="Heading1"/>
      </w:pPr>
      <w:r>
        <w:t>8. Bedingungen und besondere Vereinbarungen</w:t>
      </w:r>
    </w:p>
    <w:p>
      <w:pPr>
        <w:spacing w:after="30"/>
        <w:ind w:left="85" w:firstLine="0"/>
      </w:pPr>
      <w:r>
        <w:rPr>
          <w:b/>
        </w:rPr>
        <w:t xml:space="preserve">☐ </w:t>
      </w:r>
      <w:r>
        <w:t>Finanzierungsbestätigung bis __________________</w:t>
      </w:r>
    </w:p>
    <w:p>
      <w:pPr>
        <w:spacing w:after="30"/>
        <w:ind w:left="85" w:firstLine="0"/>
      </w:pPr>
      <w:r>
        <w:rPr>
          <w:b/>
        </w:rPr>
        <w:t xml:space="preserve">☐ </w:t>
      </w:r>
      <w:r>
        <w:t>Bewilligung nach BewG / Lex Koller abgeklärt</w:t>
      </w:r>
    </w:p>
    <w:p>
      <w:pPr>
        <w:spacing w:after="30"/>
        <w:ind w:left="85" w:firstLine="0"/>
      </w:pPr>
      <w:r>
        <w:rPr>
          <w:b/>
        </w:rPr>
        <w:t xml:space="preserve">☐ </w:t>
      </w:r>
      <w:r>
        <w:t>Zustimmung Ehegatte / Gemeinschaft / Organ</w:t>
      </w:r>
    </w:p>
    <w:p>
      <w:pPr>
        <w:spacing w:after="30"/>
        <w:ind w:left="85" w:firstLine="0"/>
      </w:pPr>
      <w:r>
        <w:rPr>
          <w:b/>
        </w:rPr>
        <w:t xml:space="preserve">☐ </w:t>
      </w:r>
      <w:r>
        <w:t>Vorkaufs- oder Kaufsrechte abgeklärt</w:t>
      </w:r>
    </w:p>
    <w:p>
      <w:pPr>
        <w:spacing w:after="30"/>
        <w:ind w:left="85" w:firstLine="0"/>
      </w:pPr>
      <w:r>
        <w:rPr>
          <w:b/>
        </w:rPr>
        <w:t xml:space="preserve">☐ </w:t>
      </w:r>
      <w:r>
        <w:t>Gebäude- / Grundstückprüfung abgeschlossen</w:t>
      </w:r>
    </w:p>
    <w:p>
      <w:pPr>
        <w:spacing w:after="30"/>
        <w:ind w:left="85" w:firstLine="0"/>
      </w:pPr>
      <w:r>
        <w:rPr>
          <w:b/>
        </w:rPr>
        <w:t xml:space="preserve">☐ </w:t>
      </w:r>
      <w:r>
        <w:t>Löschung / Ablösung von Grundpfandrechten geregelt</w:t>
      </w:r>
    </w:p>
    <w:p>
      <w:pPr>
        <w:spacing w:after="30"/>
        <w:ind w:left="85" w:firstLine="0"/>
      </w:pPr>
      <w:r>
        <w:rPr>
          <w:b/>
        </w:rPr>
        <w:t xml:space="preserve">☐ </w:t>
      </w:r>
      <w:r>
        <w:t>Steuer- und Gebührensicherstellungen geklärt</w:t>
      </w:r>
    </w:p>
    <w:p>
      <w:pPr>
        <w:spacing w:after="30"/>
        <w:ind w:left="85" w:firstLine="0"/>
      </w:pPr>
      <w:r>
        <w:rPr>
          <w:b/>
        </w:rPr>
        <w:t xml:space="preserve">☐ </w:t>
      </w:r>
      <w:r>
        <w:t>weitere Bedingung: ________________________________________________</w:t>
      </w:r>
    </w:p>
    <w:p>
      <w:pPr>
        <w:pStyle w:val="Heading1"/>
      </w:pPr>
      <w:r>
        <w:t>9. Erforderliche Unterlagen und Anhänge</w:t>
      </w:r>
    </w:p>
    <w:p>
      <w:pPr>
        <w:spacing w:after="30"/>
        <w:ind w:left="85" w:firstLine="0"/>
      </w:pPr>
      <w:r>
        <w:rPr>
          <w:b/>
        </w:rPr>
        <w:t xml:space="preserve">☐ </w:t>
      </w:r>
      <w:r>
        <w:t>aktueller Grundbuchauszug und Kataster-/Situationsplan</w:t>
      </w:r>
    </w:p>
    <w:p>
      <w:pPr>
        <w:spacing w:after="30"/>
        <w:ind w:left="85" w:firstLine="0"/>
      </w:pPr>
      <w:r>
        <w:rPr>
          <w:b/>
        </w:rPr>
        <w:t xml:space="preserve">☐ </w:t>
      </w:r>
      <w:r>
        <w:t>Grundrisse, Baubeschrieb, Gebäudeversicherungsnachweis</w:t>
      </w:r>
    </w:p>
    <w:p>
      <w:pPr>
        <w:spacing w:after="30"/>
        <w:ind w:left="85" w:firstLine="0"/>
      </w:pPr>
      <w:r>
        <w:rPr>
          <w:b/>
        </w:rPr>
        <w:t xml:space="preserve">☐ </w:t>
      </w:r>
      <w:r>
        <w:t>Dienstbarkeitsbelege, Reglemente und öffentlich-rechtliche Eigentumsbeschränkungen</w:t>
      </w:r>
    </w:p>
    <w:p>
      <w:pPr>
        <w:spacing w:after="30"/>
        <w:ind w:left="85" w:firstLine="0"/>
      </w:pPr>
      <w:r>
        <w:rPr>
          <w:b/>
        </w:rPr>
        <w:t xml:space="preserve">☐ </w:t>
      </w:r>
      <w:r>
        <w:t>bei Stockwerkeigentum: Begründungsakt, Reglement, Protokolle, Budget, Jahresrechnung und Erneuerungsfonds</w:t>
      </w:r>
    </w:p>
    <w:p>
      <w:pPr>
        <w:spacing w:after="30"/>
        <w:ind w:left="85" w:firstLine="0"/>
      </w:pPr>
      <w:r>
        <w:rPr>
          <w:b/>
        </w:rPr>
        <w:t xml:space="preserve">☐ </w:t>
      </w:r>
      <w:r>
        <w:t>Mietverträge, Depotausweise und aktuelle Miet-/Nebenkostenliste, falls vermietet</w:t>
      </w:r>
    </w:p>
    <w:p>
      <w:pPr>
        <w:spacing w:after="30"/>
        <w:ind w:left="85" w:firstLine="0"/>
      </w:pPr>
      <w:r>
        <w:rPr>
          <w:b/>
        </w:rPr>
        <w:t xml:space="preserve">☐ </w:t>
      </w:r>
      <w:r>
        <w:t>Schuldbriefe / Hypothekarangaben und Zahlungsversprechen</w:t>
      </w:r>
    </w:p>
    <w:p>
      <w:pPr>
        <w:spacing w:after="30"/>
        <w:ind w:left="85" w:firstLine="0"/>
      </w:pPr>
      <w:r>
        <w:rPr>
          <w:b/>
        </w:rPr>
        <w:t xml:space="preserve">☐ </w:t>
      </w:r>
      <w:r>
        <w:t>Energieausweis / GEAK, Wartungs- und Garantieunterlagen, soweit vorhanden</w:t>
      </w:r>
    </w:p>
    <w:p>
      <w:pPr>
        <w:spacing w:after="30"/>
        <w:ind w:left="85" w:firstLine="0"/>
      </w:pPr>
      <w:r>
        <w:rPr>
          <w:b/>
        </w:rPr>
        <w:t xml:space="preserve">☐ </w:t>
      </w:r>
      <w:r>
        <w:t>Altlastenkataster / Schadstoffabklärungen / bekannte Mängelliste, soweit relevant</w:t>
      </w:r>
    </w:p>
    <w:p>
      <w:pPr>
        <w:spacing w:after="30"/>
        <w:ind w:left="85" w:firstLine="0"/>
      </w:pPr>
      <w:r>
        <w:rPr>
          <w:b/>
        </w:rPr>
        <w:t xml:space="preserve">☐ </w:t>
      </w:r>
      <w:r>
        <w:t>Identitäts-, Zivilstands-, Vertretungs- und Firmenregisterunterlagen</w:t>
      </w:r>
    </w:p>
    <w:p>
      <w:pPr>
        <w:spacing w:after="30"/>
        <w:ind w:left="85" w:firstLine="0"/>
      </w:pPr>
      <w:r>
        <w:rPr>
          <w:b/>
        </w:rPr>
        <w:t xml:space="preserve">☐ </w:t>
      </w:r>
      <w:r>
        <w:t>Steuer- und Gebührenabklärungen der zuständigen kantonalen Stellen</w:t>
      </w:r>
    </w:p>
    <w:p>
      <w:pPr>
        <w:spacing w:after="30"/>
        <w:ind w:left="85" w:firstLine="0"/>
      </w:pPr>
      <w:r>
        <w:rPr>
          <w:b/>
        </w:rPr>
        <w:t xml:space="preserve">☐ </w:t>
      </w:r>
      <w:r>
        <w:t>Protokoll der technischen Besichtigung und Kostenschätzungen geplanter Arbeiten</w:t>
      </w:r>
    </w:p>
    <w:p>
      <w:pPr>
        <w:spacing w:after="30"/>
        <w:ind w:left="85" w:firstLine="0"/>
      </w:pPr>
      <w:r>
        <w:rPr>
          <w:b/>
        </w:rPr>
        <w:t xml:space="preserve">☐ </w:t>
      </w:r>
      <w:r>
        <w:t>Kaufpreis-, Finanzierungs- und Zahlungsnachweise gemäss Vorgabe der Urkundsperson</w:t>
      </w:r>
    </w:p>
    <w:p>
      <w:pPr>
        <w:pStyle w:val="Heading1"/>
      </w:pPr>
      <w:r>
        <w:t>10. Offene Punkte für die Urkundsperson</w:t>
      </w:r>
    </w:p>
    <w:tbl>
      <w:tblPr>
        <w:tblStyle w:val="TableGrid"/>
        <w:tblW w:type="dxa" w:w="10035"/>
        <w:jc w:val="left"/>
        <w:tblLayout w:type="fixed"/>
        <w:tblLook w:firstColumn="1" w:firstRow="1" w:lastColumn="0" w:lastRow="0" w:noHBand="0" w:noVBand="1" w:val="04A0"/>
        <w:tblInd w:w="120" w:type="dxa"/>
      </w:tblPr>
      <w:tblGrid>
        <w:gridCol w:w="4533"/>
        <w:gridCol w:w="2108"/>
        <w:gridCol w:w="1845"/>
        <w:gridCol w:w="1549"/>
      </w:tblGrid>
      <w:tr>
        <w:trPr>
          <w:cantSplit/>
          <w:tblHeader w:val="true"/>
        </w:trPr>
        <w:tc>
          <w:tcPr>
            <w:tcW w:type="dxa" w:w="4533"/>
            <w:shd w:fill="173D32"/>
            <w:tcMar>
              <w:top w:w="105" w:type="dxa"/>
              <w:start w:w="120" w:type="dxa"/>
              <w:bottom w:w="105" w:type="dxa"/>
              <w:end w:w="120" w:type="dxa"/>
            </w:tcMar>
            <w:vAlign w:val="center"/>
          </w:tcPr>
          <w:p>
            <w:r>
              <w:rPr>
                <w:b/>
                <w:color w:val="FFFFFF"/>
                <w:sz w:val="17"/>
              </w:rPr>
              <w:t>Thema / Frage</w:t>
            </w:r>
          </w:p>
        </w:tc>
        <w:tc>
          <w:tcPr>
            <w:tcW w:type="dxa" w:w="2108"/>
            <w:shd w:fill="173D32"/>
            <w:tcMar>
              <w:top w:w="105" w:type="dxa"/>
              <w:start w:w="120" w:type="dxa"/>
              <w:bottom w:w="105" w:type="dxa"/>
              <w:end w:w="120" w:type="dxa"/>
            </w:tcMar>
            <w:vAlign w:val="center"/>
          </w:tcPr>
          <w:p>
            <w:r>
              <w:rPr>
                <w:b/>
                <w:color w:val="FFFFFF"/>
                <w:sz w:val="17"/>
              </w:rPr>
              <w:t>Verantwortlich</w:t>
            </w:r>
          </w:p>
        </w:tc>
        <w:tc>
          <w:tcPr>
            <w:tcW w:type="dxa" w:w="1845"/>
            <w:shd w:fill="173D32"/>
            <w:tcMar>
              <w:top w:w="105" w:type="dxa"/>
              <w:start w:w="120" w:type="dxa"/>
              <w:bottom w:w="105" w:type="dxa"/>
              <w:end w:w="120" w:type="dxa"/>
            </w:tcMar>
            <w:vAlign w:val="center"/>
          </w:tcPr>
          <w:p>
            <w:r>
              <w:rPr>
                <w:b/>
                <w:color w:val="FFFFFF"/>
                <w:sz w:val="17"/>
              </w:rPr>
              <w:t>Termin</w:t>
            </w:r>
          </w:p>
        </w:tc>
        <w:tc>
          <w:tcPr>
            <w:tcW w:type="dxa" w:w="1549"/>
            <w:shd w:fill="173D32"/>
            <w:tcMar>
              <w:top w:w="105" w:type="dxa"/>
              <w:start w:w="120" w:type="dxa"/>
              <w:bottom w:w="105" w:type="dxa"/>
              <w:end w:w="120" w:type="dxa"/>
            </w:tcMar>
            <w:vAlign w:val="center"/>
          </w:tcPr>
          <w:p>
            <w:r>
              <w:rPr>
                <w:b/>
                <w:color w:val="FFFFFF"/>
                <w:sz w:val="17"/>
              </w:rPr>
              <w:t>Erledigt</w:t>
            </w:r>
          </w:p>
        </w:tc>
      </w:tr>
      <w:tr>
        <w:trPr>
          <w:trHeight w:val="482" w:hRule="atLeast"/>
          <w:cantSplit/>
        </w:trPr>
        <w:tc>
          <w:tcPr>
            <w:tcW w:type="dxa" w:w="4533"/>
            <w:tcMar>
              <w:top w:w="105" w:type="dxa"/>
              <w:start w:w="120" w:type="dxa"/>
              <w:bottom w:w="105" w:type="dxa"/>
              <w:end w:w="120" w:type="dxa"/>
            </w:tcMar>
            <w:vAlign w:val="center"/>
          </w:tcPr>
          <w:p>
            <w:r/>
          </w:p>
        </w:tc>
        <w:tc>
          <w:tcPr>
            <w:tcW w:type="dxa" w:w="2108"/>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84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549"/>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trHeight w:val="482" w:hRule="atLeast"/>
          <w:cantSplit/>
        </w:trPr>
        <w:tc>
          <w:tcPr>
            <w:tcW w:type="dxa" w:w="4533"/>
            <w:tcMar>
              <w:top w:w="105" w:type="dxa"/>
              <w:start w:w="120" w:type="dxa"/>
              <w:bottom w:w="105" w:type="dxa"/>
              <w:end w:w="120" w:type="dxa"/>
            </w:tcMar>
            <w:vAlign w:val="center"/>
          </w:tcPr>
          <w:p>
            <w:r/>
          </w:p>
        </w:tc>
        <w:tc>
          <w:tcPr>
            <w:tcW w:type="dxa" w:w="2108"/>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84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549"/>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1"/>
      </w:pPr>
      <w:r>
        <w:t>Bestätigung für die Urkundsperson</w:t>
      </w:r>
    </w:p>
    <w:p>
      <w:r>
        <w:t>Die Parteien bestätigen mit ihrer Paraphe lediglich, dass diese Datengrundlage ihren aktuellen Verhandlungsstand wiedergibt. Eine rechtsgültige Verpflichtung zum Grundstückkauf entsteht dadurch nicht; massgebend ist ausschliesslich die öffentlich beurkundete Urkunde.</w:t>
      </w:r>
    </w:p>
    <w:p>
      <w:pPr>
        <w:pStyle w:val="Heading1"/>
      </w:pPr>
      <w:r>
        <w:t>Unterschriften</w:t>
      </w:r>
    </w:p>
    <w:tbl>
      <w:tblPr>
        <w:tblW w:type="dxa" w:w="10035"/>
        <w:jc w:val="left"/>
        <w:tblLayout w:type="fixed"/>
        <w:tblLook w:firstColumn="1" w:firstRow="1" w:lastColumn="0" w:lastRow="0" w:noHBand="0" w:noVBand="1" w:val="04A0"/>
        <w:tblInd w:w="120" w:type="dxa"/>
      </w:tblPr>
      <w:tblGrid>
        <w:gridCol w:w="5017"/>
        <w:gridCol w:w="5018"/>
      </w:tblGrid>
      <w:tr>
        <w:trPr>
          <w:cantSplit/>
        </w:trPr>
        <w:tc>
          <w:tcPr>
            <w:tcW w:type="dxa" w:w="5017"/>
            <w:shd w:fill="FAFCFA"/>
            <w:tcMar>
              <w:top w:w="105" w:type="dxa"/>
              <w:start w:w="120" w:type="dxa"/>
              <w:bottom w:w="105" w:type="dxa"/>
              <w:end w:w="120" w:type="dxa"/>
            </w:tcMar>
            <w:vAlign w:val="center"/>
          </w:tcPr>
          <w:p>
            <w:r/>
            <w:r>
              <w:rPr>
                <w:b/>
              </w:rPr>
              <w:t>Verkäuferschaft (Kenntnisnahme)</w:t>
            </w:r>
          </w:p>
          <w:p>
            <w:pPr>
              <w:spacing w:before="60" w:after="20"/>
            </w:pPr>
            <w:r>
              <w:t>Ort / Datum</w:t>
            </w:r>
          </w:p>
          <w:p>
            <w:pPr>
              <w:spacing w:line="115" w:lineRule="auto" w:after="20"/>
              <w:pBdr>
                <w:bottom w:val="single" w:sz="5" w:space="2" w:color="5E6B65"/>
              </w:pBdr>
            </w:pPr>
            <w:r>
              <w:t xml:space="preserve"> </w:t>
            </w:r>
          </w:p>
          <w:p>
            <w:pPr>
              <w:spacing w:before="60" w:after="20"/>
            </w:pPr>
            <w:r>
              <w:t>Name / Funktion</w:t>
            </w:r>
          </w:p>
          <w:p>
            <w:pPr>
              <w:spacing w:line="115" w:lineRule="auto" w:after="20"/>
              <w:pBdr>
                <w:bottom w:val="single" w:sz="5" w:space="2" w:color="5E6B65"/>
              </w:pBdr>
            </w:pPr>
            <w:r>
              <w:t xml:space="preserve"> </w:t>
            </w:r>
          </w:p>
          <w:p>
            <w:pPr>
              <w:spacing w:before="60" w:after="20"/>
            </w:pPr>
            <w:r>
              <w:t>Unterschrift</w:t>
            </w:r>
          </w:p>
          <w:p>
            <w:pPr>
              <w:spacing w:line="173" w:lineRule="auto" w:after="20"/>
              <w:pBdr>
                <w:bottom w:val="single" w:sz="5" w:space="2" w:color="5E6B65"/>
              </w:pBdr>
            </w:pPr>
            <w:r>
              <w:t xml:space="preserve"> </w:t>
            </w:r>
          </w:p>
        </w:tc>
        <w:tc>
          <w:tcPr>
            <w:tcW w:type="dxa" w:w="5018"/>
            <w:shd w:fill="FAFCFA"/>
            <w:tcMar>
              <w:top w:w="105" w:type="dxa"/>
              <w:start w:w="120" w:type="dxa"/>
              <w:bottom w:w="105" w:type="dxa"/>
              <w:end w:w="120" w:type="dxa"/>
            </w:tcMar>
            <w:vAlign w:val="center"/>
          </w:tcPr>
          <w:p>
            <w:r/>
            <w:r>
              <w:rPr>
                <w:b/>
              </w:rPr>
              <w:t>Käuferschaft (Kenntnisnahme)</w:t>
            </w:r>
          </w:p>
          <w:p>
            <w:pPr>
              <w:spacing w:before="60" w:after="20"/>
            </w:pPr>
            <w:r>
              <w:t>Ort / Datum</w:t>
            </w:r>
          </w:p>
          <w:p>
            <w:pPr>
              <w:spacing w:line="115" w:lineRule="auto" w:after="20"/>
              <w:pBdr>
                <w:bottom w:val="single" w:sz="5" w:space="2" w:color="5E6B65"/>
              </w:pBdr>
            </w:pPr>
            <w:r>
              <w:t xml:space="preserve"> </w:t>
            </w:r>
          </w:p>
          <w:p>
            <w:pPr>
              <w:spacing w:before="60" w:after="20"/>
            </w:pPr>
            <w:r>
              <w:t>Name / Funktion</w:t>
            </w:r>
          </w:p>
          <w:p>
            <w:pPr>
              <w:spacing w:line="115" w:lineRule="auto" w:after="20"/>
              <w:pBdr>
                <w:bottom w:val="single" w:sz="5" w:space="2" w:color="5E6B65"/>
              </w:pBdr>
            </w:pPr>
            <w:r>
              <w:t xml:space="preserve"> </w:t>
            </w:r>
          </w:p>
          <w:p>
            <w:pPr>
              <w:spacing w:before="60" w:after="20"/>
            </w:pPr>
            <w:r>
              <w:t>Unterschrift</w:t>
            </w:r>
          </w:p>
          <w:p>
            <w:pPr>
              <w:spacing w:line="173" w:lineRule="auto" w:after="20"/>
              <w:pBdr>
                <w:bottom w:val="single" w:sz="5" w:space="2" w:color="5E6B65"/>
              </w:pBdr>
            </w:pPr>
            <w:r>
              <w:t xml:space="preserve"> </w:t>
            </w:r>
          </w:p>
        </w:tc>
      </w:tr>
    </w:tbl>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shd w:fill="F3F6F3"/>
            <w:tcMar>
              <w:top w:w="105" w:type="dxa"/>
              <w:start w:w="120" w:type="dxa"/>
              <w:bottom w:w="105" w:type="dxa"/>
              <w:end w:w="120" w:type="dxa"/>
            </w:tcMar>
            <w:vAlign w:val="center"/>
          </w:tcPr>
          <w:p>
            <w:pPr>
              <w:spacing w:after="20"/>
            </w:pPr>
            <w:r>
              <w:rPr>
                <w:sz w:val="16"/>
              </w:rPr>
            </w:r>
            <w:r>
              <w:rPr>
                <w:b/>
                <w:color w:val="173D32"/>
                <w:sz w:val="16"/>
              </w:rPr>
              <w:t xml:space="preserve">Hinweis: </w:t>
            </w:r>
            <w:r>
              <w:rPr>
                <w:sz w:val="16"/>
              </w:rPr>
              <w:t>Allgemeine Schweizer Vorlage, keine Rechtsberatung. Zwingendes Recht, kantonale Vorschriften, amtliche Formulare und die konkrete Vertragslage gehen vor; bei Streit oder besonderen Verhältnissen ist eine fachliche Prüfung empfohlen.</w:t>
            </w:r>
          </w:p>
          <w:p>
            <w:pPr>
              <w:spacing w:after="20"/>
            </w:pPr>
            <w:r>
              <w:rPr>
                <w:b/>
                <w:sz w:val="16"/>
              </w:rPr>
              <w:t xml:space="preserve">Berücksichtigte Grundlagen: </w:t>
            </w:r>
            <w:r>
              <w:rPr>
                <w:sz w:val="16"/>
              </w:rPr>
              <w:t>OR Art. 216 (öffentliche Beurkundung); ZGB Art. 656-657 (Erwerb des Grundeigentums und Grundbucheintrag). Beurkundung, Gebühren und einzelne Steuern richten sich zusätzlich nach kantonalem Recht.</w:t>
            </w:r>
          </w:p>
          <w:p>
            <w:pPr>
              <w:spacing w:after="0"/>
            </w:pPr>
            <w:r>
              <w:rPr>
                <w:b/>
                <w:sz w:val="16"/>
              </w:rPr>
              <w:t xml:space="preserve">Offizielle Quellen: </w:t>
            </w:r>
            <w:r>
              <w:rPr>
                <w:sz w:val="16"/>
              </w:rPr>
              <w:t>fedlex.admin.ch (OR SR 220; ZGB SR 210) und bwo.admin.ch/de/formularpflicht. Rechtsstand: August 2026.</w:t>
            </w:r>
          </w:p>
        </w:tc>
      </w:tr>
    </w:tbl>
    <w:sectPr w:rsidR="00FC693F" w:rsidRPr="0006063C" w:rsidSect="00034616">
      <w:headerReference w:type="default" r:id="rId9"/>
      <w:footerReference w:type="default" r:id="rId10"/>
      <w:pgSz w:w="11906" w:h="16838"/>
      <w:pgMar w:top="1162" w:right="935" w:bottom="765" w:left="935" w:header="255"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color w:val="5E6B65"/>
        <w:sz w:val="14"/>
      </w:rPr>
      <w:t xml:space="preserve">WohnFair.ch  |  Stand: August 2026  |  Seite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dxa" w:w="10035"/>
      <w:jc w:val="left"/>
      <w:tblLayout w:type="fixed"/>
      <w:tblLook w:firstColumn="1" w:firstRow="1" w:lastColumn="0" w:lastRow="0" w:noHBand="0" w:noVBand="1" w:val="04A0"/>
      <w:tblInd w:w="0" w:type="dxa"/>
    </w:tblPr>
    <w:tblGrid>
      <w:gridCol w:w="4600"/>
      <w:gridCol w:w="5435"/>
    </w:tblGrid>
    <w:tr>
      <w:trPr>
        <w:cantSplit/>
      </w:trPr>
      <w:tc>
        <w:tcPr>
          <w:tcW w:type="dxa" w:w="4600"/>
          <w:tcMar>
            <w:top w:w="0" w:type="dxa"/>
            <w:start w:w="0" w:type="dxa"/>
            <w:bottom w:w="20" w:type="dxa"/>
            <w:end w:w="0" w:type="dxa"/>
          </w:tcMar>
          <w:vAlign w:val="center"/>
        </w:tcPr>
        <w:p>
          <w:pPr>
            <w:spacing w:after="0"/>
          </w:pPr>
          <w:r>
            <w:drawing>
              <wp:inline xmlns:a="http://schemas.openxmlformats.org/drawingml/2006/main" xmlns:pic="http://schemas.openxmlformats.org/drawingml/2006/picture">
                <wp:extent cx="1494000" cy="346421"/>
                <wp:docPr id="1" name="Picture 1" descr="WohnFair.ch Logo" title="WohnFair"/>
                <wp:cNvGraphicFramePr>
                  <a:graphicFrameLocks noChangeAspect="1"/>
                </wp:cNvGraphicFramePr>
                <a:graphic>
                  <a:graphicData uri="http://schemas.openxmlformats.org/drawingml/2006/picture">
                    <pic:pic>
                      <pic:nvPicPr>
                        <pic:cNvPr id="0" name="wohnfair-logo-doc.png"/>
                        <pic:cNvPicPr/>
                      </pic:nvPicPr>
                      <pic:blipFill>
                        <a:blip r:embed="rId1"/>
                        <a:stretch>
                          <a:fillRect/>
                        </a:stretch>
                      </pic:blipFill>
                      <pic:spPr>
                        <a:xfrm>
                          <a:off x="0" y="0"/>
                          <a:ext cx="1494000" cy="346421"/>
                        </a:xfrm>
                        <a:prstGeom prst="rect"/>
                      </pic:spPr>
                    </pic:pic>
                  </a:graphicData>
                </a:graphic>
              </wp:inline>
            </w:drawing>
          </w:r>
        </w:p>
      </w:tc>
      <w:tc>
        <w:tcPr>
          <w:tcW w:type="dxa" w:w="5435"/>
          <w:tcMar>
            <w:top w:w="0" w:type="dxa"/>
            <w:start w:w="0" w:type="dxa"/>
            <w:bottom w:w="20" w:type="dxa"/>
            <w:end w:w="0" w:type="dxa"/>
          </w:tcMar>
          <w:vAlign w:val="center"/>
        </w:tcPr>
        <w:p>
          <w:pPr>
            <w:spacing w:after="0"/>
            <w:jc w:val="right"/>
          </w:pPr>
          <w:r>
            <w:rPr>
              <w:rFonts w:ascii="Arial" w:hAnsi="Arial"/>
              <w:b/>
              <w:color w:val="5E6B65"/>
              <w:sz w:val="14"/>
            </w:rPr>
            <w:t>Immobiliendokument von WohnFair.ch</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color w:val="17221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173D32"/>
      <w:sz w:val="24"/>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173D32"/>
      <w:sz w:val="20"/>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Arial" w:hAnsi="Arial"/>
      <w:b/>
      <w:bCs/>
      <w:color w:val="17221D"/>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ind w:left="312" w:hanging="142"/>
      <w:contextualSpacing/>
    </w:pPr>
    <w:rPr>
      <w:rFonts w:ascii="Arial" w:hAnsi="Arial"/>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ind w:left="312" w:hanging="142"/>
      <w:contextualSpacing/>
    </w:pPr>
    <w:rPr>
      <w:rFonts w:ascii="Arial" w:hAnsi="Arial"/>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FTitle">
    <w:name w:val="WF Title"/>
    <w:pPr>
      <w:keepNext/>
      <w:spacing w:before="0" w:after="60"/>
    </w:pPr>
    <w:rPr>
      <w:rFonts w:ascii="Arial" w:hAnsi="Arial"/>
      <w:b/>
      <w:color w:val="173D32"/>
      <w:sz w:val="34"/>
    </w:rPr>
  </w:style>
  <w:style w:type="paragraph" w:customStyle="1" w:styleId="WFSubtitle">
    <w:name w:val="WF Subtitle"/>
    <w:pPr>
      <w:keepNext/>
      <w:spacing w:before="0" w:after="140"/>
    </w:pPr>
    <w:rPr>
      <w:rFonts w:ascii="Arial" w:hAnsi="Arial"/>
      <w:b w:val="0"/>
      <w:color w:val="5E6B65"/>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Kaufvertragsentwurf für eine Immobilie</dc:title>
  <dc:subject>Schweizer Immobilienvorlage</dc:subject>
  <dc:creator>WohnFair</dc:creator>
  <cp:keywords>Schweiz, Immobilien, Vorlage, WohnFair</cp:keywords>
  <dc:description>generated by python-docx</dc:description>
  <cp:lastModifiedBy>WohnFair</cp:lastModifiedBy>
  <cp:revision>1</cp:revision>
  <dcterms:created xsi:type="dcterms:W3CDTF">2013-12-23T23:15:00Z</dcterms:created>
  <dcterms:modified xsi:type="dcterms:W3CDTF">2013-12-23T23:15:00Z</dcterms:modified>
  <cp:category/>
</cp:coreProperties>
</file>