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FTitle"/>
      </w:pPr>
      <w:r>
        <w:t>Dokumentencheckliste Immobilienverkauf</w:t>
      </w:r>
    </w:p>
    <w:p>
      <w:pPr>
        <w:pStyle w:val="WFSubtitle"/>
      </w:pPr>
      <w:r>
        <w:t>Vollständige Schweizer Arbeitsliste für Verkäuferschaft, Käuferschaft, Finanzierung, Prüfung und Urkundsperson</w:t>
      </w: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  <w:shd w:fill="F5F2EA"/>
          </w:tcPr>
          <w:p>
            <w:pPr>
              <w:spacing w:after="40"/>
            </w:pPr>
            <w:r>
              <w:rPr>
                <w:b/>
                <w:color w:val="173D32"/>
              </w:rPr>
              <w:t>Frühzeitig zusammenstellen</w:t>
            </w:r>
          </w:p>
          <w:p>
            <w:pPr>
              <w:spacing w:after="0"/>
            </w:pPr>
            <w:r>
              <w:t>Vollständige und aktuelle Unterlagen beschleunigen Finanzierung, Prüfung und Beurkundung. Umfang und Aktualität werden mit Bank, Urkundsperson, Grundbuchamt und gegebenenfalls Verwaltung abgestimmt.</w:t>
            </w:r>
          </w:p>
        </w:tc>
      </w:tr>
    </w:tbl>
    <w:p>
      <w:pPr>
        <w:spacing w:after="0" w:line="96" w:lineRule="auto"/>
      </w:pP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50"/>
        <w:gridCol w:w="7285"/>
      </w:tblGrid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Objekt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Adresse / Gemeinde / Grundstück-Nr. / E-GRID: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Verantwortliche Person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 / Kontakt:  Zieltermin: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  <w:tr>
        <w:trPr>
          <w:cantSplit/>
          <w:trHeight w:val="465" w:hRule="atLeast"/>
        </w:trPr>
        <w:tc>
          <w:tcPr>
            <w:tcW w:type="dxa" w:w="2750"/>
            <w:shd w:fill="EAF1EC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173D32"/>
              </w:rPr>
              <w:t>Urkundsperson / Bank</w:t>
            </w:r>
          </w:p>
        </w:tc>
        <w:tc>
          <w:tcPr>
            <w:tcW w:type="dxa" w:w="7285"/>
            <w:shd w:fill="FAFCFA"/>
            <w:tcBorders>
              <w:top w:val="single" w:sz="8" w:color="CCD5CF"/>
              <w:start w:val="single" w:sz="8" w:color="CCD5CF"/>
              <w:bottom w:val="single" w:sz="8" w:color="CCD5CF"/>
              <w:end w:val="single" w:sz="8" w:color="CCD5CF"/>
              <w:insideH w:val="single" w:sz="8" w:color="CCD5CF"/>
              <w:insideV w:val="single" w:sz="8" w:color="CCD5CF"/>
            </w:tcBorders>
            <w:tcMar>
              <w:top w:w="105" w:type="dxa"/>
              <w:start w:w="120" w:type="dxa"/>
              <w:bottom w:w="105" w:type="dxa"/>
              <w:end w:w="120" w:type="dxa"/>
            </w:tcMar>
            <w:vAlign w:val="top"/>
          </w:tcPr>
          <w:p>
            <w:pPr>
              <w:spacing w:after="20"/>
            </w:pPr>
            <w:r/>
            <w:r>
              <w:t>Name / Kontakt / Dossier-Nr.:</w:t>
            </w:r>
          </w:p>
          <w:p>
            <w:pPr>
              <w:spacing w:before="100" w:after="40" w:line="216" w:lineRule="auto"/>
              <w:pBdr>
                <w:bottom w:val="single" w:sz="5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p>
      <w:pPr>
        <w:pStyle w:val="Heading1"/>
      </w:pPr>
      <w:r>
        <w:t>A. Personen und Vertretung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amtlicher Ausweis aller Parteien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Zivilstand / Güterstand und nötige Zustimmungen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Vollmachten, Handelsregisterauszug, Zeichnungsberechtigung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Kontakt-, Zustell- und Zahlungsangaben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Bewilligungspflichten, insbesondere BewG / Lex Koller, geprüft</w:t>
      </w:r>
    </w:p>
    <w:p>
      <w:pPr>
        <w:pStyle w:val="Heading1"/>
      </w:pPr>
      <w:r>
        <w:t>B. Grundstück und Rechte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aktueller Grundbuchauszug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Kataster-/Situationsplan und E-GRID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Dienstbarkeits-, Grundlast- und Grundpfandbelege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ÖREB-Kataster und Altlastenkataster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Vorkaufs-, Kauf- oder Rückkaufsrechte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Grenz-, Weg-, Nutzungs- und nachbarrechtliche Vereinbarungen</w:t>
      </w:r>
    </w:p>
    <w:p>
      <w:pPr>
        <w:pStyle w:val="Heading1"/>
      </w:pPr>
      <w:r>
        <w:t>C. Gebäude und Zustand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Grundrisse, Baubeschrieb, Flächenangaben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Baubewilligungen und Pläne wichtiger Umbauten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Gebäudeversicherung / Schadendossiers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Energieausweis / GEAK und Heizungsunterlagen, soweit vorhanden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Mängel-, Feuchte-, Schadstoff- und Sanierungsinformationen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Garantien, Wartungs- und Bedienungsunterlagen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Protokolle technischer Prüfungen und Kostenschätzungen</w:t>
      </w:r>
    </w:p>
    <w:p>
      <w:pPr>
        <w:pStyle w:val="Heading1"/>
      </w:pPr>
      <w:r>
        <w:t>D. Finanzen und Abgaben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Kaufpreisaufteilung und Zahlungsplan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Hypotheken, Schuldbriefe und Ablösungsinstruktionen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Finanzierungsbestätigung / Zahlungsversprechen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kantonale Handänderungssteuer bzw. Grundbuchgebühr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Grundstückgewinnsteuer und Sicherstellung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Abgrenzung von Versicherungen, Steuern und Betriebskosten</w:t>
      </w:r>
    </w:p>
    <w:p>
      <w:pPr>
        <w:pStyle w:val="Heading1"/>
      </w:pPr>
      <w:r>
        <w:t>E. Stockwerkeigentum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Begründungsakt und Reglement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Wertquote, Sonderrechte und Nutzungsordnungen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letzte Protokolle der Eigentümerversammlung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Budget, Jahresrechnung und Erneuerungsfonds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geplante Sanierungen, Beschlüsse und offene Beiträge</w:t>
      </w:r>
    </w:p>
    <w:p>
      <w:pPr>
        <w:pStyle w:val="Heading1"/>
      </w:pPr>
      <w:r>
        <w:t>F. Vermietete Immobilie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sämtliche Miet- und Nachtragsverträge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Mietzins-, Nebenkosten- und Kautionsübersicht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amtliche Mitteilungen und laufende Verfahren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Übergangsinformation an Mieterschaft / Verwaltung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Abrechnung und Übertragung von Depots</w:t>
      </w:r>
    </w:p>
    <w:p>
      <w:pPr>
        <w:pStyle w:val="Heading1"/>
      </w:pPr>
      <w:r>
        <w:t>G. Beurkundung und Übergabe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Vertragsentwurf der Urkundsperson geprüft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Bedingungen, Termine und Bewilligungen erfüllt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Eigentumsanmeldung beim Grundbuch vorbereitet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Übergabe-/Abnahmeprotokoll, Schlüssel- und Zählerliste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Inventar- und Fotoanhang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Nachsende-, Versicherungs- und Versorgungsmeldungen</w:t>
      </w:r>
    </w:p>
    <w:p>
      <w:pPr>
        <w:pStyle w:val="Heading1"/>
      </w:pPr>
      <w:r>
        <w:t>H. Vermarktung und Offenlegung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Inserate, Exposé und Flächenangaben auf Richtigkeit geprüft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bekannte Mängel und wesentliche Tatsachen schriftlich offengelegt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Besichtigungs- und Interessentendokumentation geführt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Datenschutz und sichere Übermittlung sensibler Unterlagen geregelt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Maklerauftrag, Provision und Vollmachten dokumentiert</w:t>
      </w:r>
    </w:p>
    <w:p>
      <w:pPr>
        <w:pStyle w:val="Heading1"/>
      </w:pPr>
      <w:r>
        <w:t>I. Abschlusskontrolle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alle Originale und beglaubigten Unterlagen vorhanden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offene Bedingungen und Fristen schriftlich nachgeführt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Zahlungsweg und Identifikation des Zahlungsempfängers verifiziert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Versicherungsdeckung bis zum vereinbarten Übergang geklärt</w:t>
      </w:r>
    </w:p>
    <w:p>
      <w:pPr>
        <w:spacing w:after="30"/>
        <w:ind w:left="85" w:firstLine="0"/>
      </w:pPr>
      <w:r>
        <w:rPr>
          <w:b/>
        </w:rPr>
        <w:t xml:space="preserve">☐ </w:t>
      </w:r>
      <w:r>
        <w:t>vollständige digitale und physische Verkaufsakte archiviert</w:t>
      </w:r>
    </w:p>
    <w:p>
      <w:pPr>
        <w:pStyle w:val="Heading1"/>
      </w:pPr>
      <w:r>
        <w:t>Offene Punkte / Verantwortlichkeiten</w:t>
      </w:r>
    </w:p>
    <w:tbl>
      <w:tblPr>
        <w:tblStyle w:val="TableGrid"/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533"/>
        <w:gridCol w:w="2003"/>
        <w:gridCol w:w="1687"/>
        <w:gridCol w:w="1812"/>
      </w:tblGrid>
      <w:tr>
        <w:trPr>
          <w:cantSplit/>
          <w:tblHeader w:val="true"/>
        </w:trPr>
        <w:tc>
          <w:tcPr>
            <w:tcW w:type="dxa" w:w="4533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Punkt</w:t>
            </w:r>
          </w:p>
        </w:tc>
        <w:tc>
          <w:tcPr>
            <w:tcW w:type="dxa" w:w="2003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Verantwortlich</w:t>
            </w:r>
          </w:p>
        </w:tc>
        <w:tc>
          <w:tcPr>
            <w:tcW w:type="dxa" w:w="1687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Termin</w:t>
            </w:r>
          </w:p>
        </w:tc>
        <w:tc>
          <w:tcPr>
            <w:tcW w:type="dxa" w:w="1812"/>
            <w:shd w:fill="173D3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rPr>
          <w:trHeight w:val="482" w:hRule="atLeast"/>
          <w:cantSplit/>
        </w:trPr>
        <w:tc>
          <w:tcPr>
            <w:tcW w:type="dxa" w:w="453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687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81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trHeight w:val="482" w:hRule="atLeast"/>
          <w:cantSplit/>
        </w:trPr>
        <w:tc>
          <w:tcPr>
            <w:tcW w:type="dxa" w:w="453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687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81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trHeight w:val="482" w:hRule="atLeast"/>
          <w:cantSplit/>
        </w:trPr>
        <w:tc>
          <w:tcPr>
            <w:tcW w:type="dxa" w:w="453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687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81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  <w:tr>
        <w:trPr>
          <w:trHeight w:val="482" w:hRule="atLeast"/>
          <w:cantSplit/>
        </w:trPr>
        <w:tc>
          <w:tcPr>
            <w:tcW w:type="dxa" w:w="453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</w:tc>
        <w:tc>
          <w:tcPr>
            <w:tcW w:type="dxa" w:w="200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687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  <w:tc>
          <w:tcPr>
            <w:tcW w:type="dxa" w:w="1812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r/>
          </w:p>
          <w:p>
            <w:pPr>
              <w:spacing w:before="80" w:after="20" w:line="173" w:lineRule="auto"/>
              <w:pBdr>
                <w:bottom w:val="single" w:sz="4" w:space="2" w:color="CCD5CF"/>
              </w:pBdr>
            </w:pPr>
            <w:r>
              <w:t xml:space="preserve"> </w:t>
            </w:r>
          </w:p>
        </w:tc>
      </w:tr>
    </w:tbl>
    <w:p>
      <w:pPr>
        <w:spacing w:after="0"/>
      </w:pPr>
    </w:p>
    <w:tbl>
      <w:tblPr>
        <w:tblW w:type="dxa" w:w="10035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0035"/>
      </w:tblGrid>
      <w:tr>
        <w:trPr>
          <w:cantSplit/>
        </w:trPr>
        <w:tc>
          <w:tcPr>
            <w:tcW w:type="dxa" w:w="10035"/>
            <w:shd w:fill="F3F6F3"/>
            <w:tcMar>
              <w:top w:w="105" w:type="dxa"/>
              <w:start w:w="120" w:type="dxa"/>
              <w:bottom w:w="105" w:type="dxa"/>
              <w:end w:w="120" w:type="dxa"/>
            </w:tcMar>
            <w:vAlign w:val="center"/>
          </w:tcPr>
          <w:p>
            <w:pPr>
              <w:spacing w:after="20"/>
            </w:pPr>
            <w:r>
              <w:rPr>
                <w:sz w:val="16"/>
              </w:rPr>
            </w:r>
            <w:r>
              <w:rPr>
                <w:b/>
                <w:color w:val="173D32"/>
                <w:sz w:val="16"/>
              </w:rPr>
              <w:t xml:space="preserve">Hinweis: </w:t>
            </w:r>
            <w:r>
              <w:rPr>
                <w:sz w:val="16"/>
              </w:rPr>
              <w:t>Allgemeine Schweizer Vorlage, keine Rechtsberatung. Zwingendes Recht, kantonale Vorschriften, amtliche Formulare und die konkrete Vertragslage gehen vor; bei Streit oder besonderen Verhältnissen ist eine fachliche Prüfung empfohlen.</w:t>
            </w:r>
          </w:p>
          <w:p>
            <w:pPr>
              <w:spacing w:after="20"/>
            </w:pPr>
            <w:r>
              <w:rPr>
                <w:b/>
                <w:sz w:val="16"/>
              </w:rPr>
              <w:t xml:space="preserve">Berücksichtigte Grundlagen: </w:t>
            </w:r>
            <w:r>
              <w:rPr>
                <w:sz w:val="16"/>
              </w:rPr>
              <w:t>OR Art. 216 und ZGB Art. 656-657; zusätzlich kantonales Beurkundungs-, Grundbuch-, Gebühren- und Steuerrecht sowie objektspezifische öffentlich-rechtliche Vorschriften.</w:t>
            </w:r>
          </w:p>
          <w:p>
            <w:pPr>
              <w:spacing w:after="0"/>
            </w:pPr>
            <w:r>
              <w:rPr>
                <w:b/>
                <w:sz w:val="16"/>
              </w:rPr>
              <w:t xml:space="preserve">Offizielle Quellen: </w:t>
            </w:r>
            <w:r>
              <w:rPr>
                <w:sz w:val="16"/>
              </w:rPr>
              <w:t>fedlex.admin.ch (OR SR 220; ZGB SR 210) und bwo.admin.ch/de/formularpflicht. Rechtsstand: August 2026.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62" w:right="935" w:bottom="765" w:left="935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40"/>
      <w:jc w:val="center"/>
    </w:pPr>
    <w:r>
      <w:rPr>
        <w:rFonts w:ascii="Arial" w:hAnsi="Arial"/>
        <w:color w:val="5E6B65"/>
        <w:sz w:val="14"/>
      </w:rPr>
      <w:t xml:space="preserve">WohnFair.ch  |  Stand: August 2026  |  Seite </w:t>
    </w:r>
    <w:r>
      <w:fldChar w:fldCharType="begin"/>
      <w:instrText xml:space="preserve">PAGE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dxa" w:w="10035"/>
      <w:jc w:val="left"/>
      <w:tblLayout w:type="fixed"/>
      <w:tblLook w:firstColumn="1" w:firstRow="1" w:lastColumn="0" w:lastRow="0" w:noHBand="0" w:noVBand="1" w:val="04A0"/>
      <w:tblInd w:w="0" w:type="dxa"/>
    </w:tblPr>
    <w:tblGrid>
      <w:gridCol w:w="4600"/>
      <w:gridCol w:w="5435"/>
    </w:tblGrid>
    <w:tr>
      <w:trPr>
        <w:cantSplit/>
      </w:trPr>
      <w:tc>
        <w:tcPr>
          <w:tcW w:type="dxa" w:w="4600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494000" cy="346421"/>
                <wp:docPr id="1" name="Picture 1" descr="WohnFair.ch Logo" title="WohnFair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hnfair-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4000" cy="34642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35"/>
          <w:tcMar>
            <w:top w:w="0" w:type="dxa"/>
            <w:start w:w="0" w:type="dxa"/>
            <w:bottom w:w="20" w:type="dxa"/>
            <w:end w:w="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Arial" w:hAnsi="Arial"/>
              <w:b/>
              <w:color w:val="5E6B65"/>
              <w:sz w:val="14"/>
            </w:rPr>
            <w:t>Immobiliendokument von WohnFair.ch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0" w:lineRule="auto"/>
    </w:pPr>
    <w:rPr>
      <w:rFonts w:ascii="Arial" w:hAnsi="Arial"/>
      <w:color w:val="17221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73D3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rial" w:hAnsi="Arial"/>
      <w:b/>
      <w:bCs/>
      <w:color w:val="173D3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17221D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30"/>
      <w:ind w:left="312" w:hanging="142"/>
      <w:contextualSpacing/>
    </w:pPr>
    <w:rPr>
      <w:rFonts w:ascii="Arial" w:hAnsi="Arial"/>
      <w:sz w:val="1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FTitle">
    <w:name w:val="WF Title"/>
    <w:pPr>
      <w:keepNext/>
      <w:spacing w:before="0" w:after="60"/>
    </w:pPr>
    <w:rPr>
      <w:rFonts w:ascii="Arial" w:hAnsi="Arial"/>
      <w:b/>
      <w:color w:val="173D32"/>
      <w:sz w:val="34"/>
    </w:rPr>
  </w:style>
  <w:style w:type="paragraph" w:customStyle="1" w:styleId="WFSubtitle">
    <w:name w:val="WF Subtitle"/>
    <w:pPr>
      <w:keepNext/>
      <w:spacing w:before="0" w:after="140"/>
    </w:pPr>
    <w:rPr>
      <w:rFonts w:ascii="Arial" w:hAnsi="Arial"/>
      <w:b w:val="0"/>
      <w:color w:val="5E6B65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Dokumentencheckliste Immobilienverkauf</dc:title>
  <dc:subject>Schweizer Immobilienvorlage</dc:subject>
  <dc:creator>WohnFair</dc:creator>
  <cp:keywords>Schweiz, Immobilien, Vorlage, WohnFair</cp:keywords>
  <dc:description>generated by python-docx</dc:description>
  <cp:lastModifiedBy>WohnFair</cp:lastModifiedBy>
  <cp:revision>1</cp:revision>
  <dcterms:created xsi:type="dcterms:W3CDTF">2013-12-23T23:15:00Z</dcterms:created>
  <dcterms:modified xsi:type="dcterms:W3CDTF">2013-12-23T23:15:00Z</dcterms:modified>
  <cp:category/>
</cp:coreProperties>
</file>